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540" w:right="160" w:hanging="514"/>
        <w:spacing w:after="0" w:line="237"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40" w:right="160" w:hanging="514"/>
        <w:spacing w:after="0" w:line="237" w:lineRule="auto"/>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81"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For the transition period from __________to __________</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001-40249</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ThredUp Inc.</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80" w:lineRule="exact"/>
        <w:rPr>
          <w:sz w:val="24"/>
          <w:szCs w:val="24"/>
          <w:color w:val="auto"/>
        </w:rPr>
      </w:pPr>
    </w:p>
    <w:tbl>
      <w:tblPr>
        <w:tblLayout w:type="fixed"/>
        <w:tblInd w:w="960" w:type="dxa"/>
        <w:tblCellMar>
          <w:top w:w="0" w:type="dxa"/>
          <w:left w:w="0" w:type="dxa"/>
          <w:bottom w:w="0" w:type="dxa"/>
          <w:right w:w="0" w:type="dxa"/>
        </w:tblCellMar>
      </w:tblPr>
      <w:tr>
        <w:trPr>
          <w:trHeight w:val="190"/>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Delaware</w:t>
            </w:r>
          </w:p>
        </w:tc>
        <w:tc>
          <w:tcPr>
            <w:tcW w:w="3540" w:type="dxa"/>
            <w:vAlign w:val="bottom"/>
          </w:tcPr>
          <w:p>
            <w:pPr>
              <w:jc w:val="right"/>
              <w:ind w:right="648"/>
              <w:spacing w:after="0"/>
              <w:rPr>
                <w:sz w:val="20"/>
                <w:szCs w:val="20"/>
                <w:color w:val="auto"/>
              </w:rPr>
            </w:pPr>
            <w:r>
              <w:rPr>
                <w:rFonts w:ascii="Arial" w:cs="Arial" w:eastAsia="Arial" w:hAnsi="Arial"/>
                <w:sz w:val="14"/>
                <w:szCs w:val="14"/>
                <w:b w:val="1"/>
                <w:bCs w:val="1"/>
                <w:color w:val="auto"/>
              </w:rPr>
              <w:t>26-4009181</w:t>
            </w:r>
          </w:p>
        </w:tc>
      </w:tr>
      <w:tr>
        <w:trPr>
          <w:trHeight w:val="203"/>
        </w:trPr>
        <w:tc>
          <w:tcPr>
            <w:tcW w:w="5040" w:type="dxa"/>
            <w:vAlign w:val="bottom"/>
          </w:tcPr>
          <w:p>
            <w:pPr>
              <w:jc w:val="center"/>
              <w:ind w:right="124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i w:val="1"/>
                <w:iCs w:val="1"/>
                <w:color w:val="auto"/>
              </w:rPr>
              <w:t>(I.R.S. Employer Identification No.)</w:t>
            </w:r>
          </w:p>
        </w:tc>
      </w:tr>
      <w:tr>
        <w:trPr>
          <w:trHeight w:val="419"/>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969 Broadway, Suite 200</w:t>
            </w:r>
          </w:p>
        </w:tc>
        <w:tc>
          <w:tcPr>
            <w:tcW w:w="3540" w:type="dxa"/>
            <w:vAlign w:val="bottom"/>
          </w:tcPr>
          <w:p>
            <w:pPr>
              <w:spacing w:after="0"/>
              <w:rPr>
                <w:sz w:val="24"/>
                <w:szCs w:val="24"/>
                <w:color w:val="auto"/>
              </w:rPr>
            </w:pPr>
          </w:p>
        </w:tc>
      </w:tr>
      <w:tr>
        <w:trPr>
          <w:trHeight w:val="203"/>
        </w:trPr>
        <w:tc>
          <w:tcPr>
            <w:tcW w:w="5040" w:type="dxa"/>
            <w:vAlign w:val="bottom"/>
          </w:tcPr>
          <w:p>
            <w:pPr>
              <w:jc w:val="center"/>
              <w:ind w:right="1268"/>
              <w:spacing w:after="0"/>
              <w:rPr>
                <w:sz w:val="20"/>
                <w:szCs w:val="20"/>
                <w:color w:val="auto"/>
              </w:rPr>
            </w:pPr>
            <w:r>
              <w:rPr>
                <w:rFonts w:ascii="Arial" w:cs="Arial" w:eastAsia="Arial" w:hAnsi="Arial"/>
                <w:sz w:val="14"/>
                <w:szCs w:val="14"/>
                <w:b w:val="1"/>
                <w:bCs w:val="1"/>
                <w:color w:val="auto"/>
              </w:rPr>
              <w:t>Oakland, CA</w:t>
            </w:r>
          </w:p>
        </w:tc>
        <w:tc>
          <w:tcPr>
            <w:tcW w:w="3540" w:type="dxa"/>
            <w:vAlign w:val="bottom"/>
          </w:tcPr>
          <w:p>
            <w:pPr>
              <w:jc w:val="right"/>
              <w:ind w:right="828"/>
              <w:spacing w:after="0"/>
              <w:rPr>
                <w:sz w:val="20"/>
                <w:szCs w:val="20"/>
                <w:color w:val="auto"/>
              </w:rPr>
            </w:pPr>
            <w:r>
              <w:rPr>
                <w:rFonts w:ascii="Arial" w:cs="Arial" w:eastAsia="Arial" w:hAnsi="Arial"/>
                <w:sz w:val="14"/>
                <w:szCs w:val="14"/>
                <w:b w:val="1"/>
                <w:bCs w:val="1"/>
                <w:color w:val="auto"/>
              </w:rPr>
              <w:t>94607</w:t>
            </w:r>
          </w:p>
        </w:tc>
      </w:tr>
      <w:tr>
        <w:trPr>
          <w:trHeight w:val="203"/>
        </w:trPr>
        <w:tc>
          <w:tcPr>
            <w:tcW w:w="5040" w:type="dxa"/>
            <w:vAlign w:val="bottom"/>
          </w:tcPr>
          <w:p>
            <w:pPr>
              <w:jc w:val="center"/>
              <w:ind w:right="1268"/>
              <w:spacing w:after="0"/>
              <w:rPr>
                <w:sz w:val="20"/>
                <w:szCs w:val="20"/>
                <w:color w:val="auto"/>
              </w:rPr>
            </w:pPr>
            <w:r>
              <w:rPr>
                <w:rFonts w:ascii="Arial" w:cs="Arial" w:eastAsia="Arial" w:hAnsi="Arial"/>
                <w:sz w:val="14"/>
                <w:szCs w:val="14"/>
                <w:i w:val="1"/>
                <w:iCs w:val="1"/>
                <w:color w:val="auto"/>
              </w:rPr>
              <w:t>(Address of principal executive offices)</w:t>
            </w:r>
          </w:p>
        </w:tc>
        <w:tc>
          <w:tcPr>
            <w:tcW w:w="3540" w:type="dxa"/>
            <w:vAlign w:val="bottom"/>
          </w:tcPr>
          <w:p>
            <w:pPr>
              <w:jc w:val="center"/>
              <w:ind w:left="1268"/>
              <w:spacing w:after="0"/>
              <w:rPr>
                <w:sz w:val="20"/>
                <w:szCs w:val="20"/>
                <w:color w:val="auto"/>
              </w:rPr>
            </w:pPr>
            <w:r>
              <w:rPr>
                <w:rFonts w:ascii="Arial" w:cs="Arial" w:eastAsia="Arial" w:hAnsi="Arial"/>
                <w:sz w:val="14"/>
                <w:szCs w:val="14"/>
                <w:i w:val="1"/>
                <w:iCs w:val="1"/>
                <w:color w:val="auto"/>
              </w:rPr>
              <w:t>(Zip Code)</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(415) 402-5202</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55"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372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rPr>
              <w:t>Title of each class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11"/>
        </w:trPr>
        <w:tc>
          <w:tcPr>
            <w:tcW w:w="4780" w:type="dxa"/>
            <w:vAlign w:val="bottom"/>
            <w:gridSpan w:val="3"/>
          </w:tcPr>
          <w:p>
            <w:pPr>
              <w:jc w:val="center"/>
              <w:ind w:right="1440"/>
              <w:spacing w:after="0"/>
              <w:rPr>
                <w:sz w:val="20"/>
                <w:szCs w:val="20"/>
                <w:color w:val="auto"/>
              </w:rPr>
            </w:pPr>
            <w:r>
              <w:rPr>
                <w:rFonts w:ascii="Arial" w:cs="Arial" w:eastAsia="Arial" w:hAnsi="Arial"/>
                <w:sz w:val="14"/>
                <w:szCs w:val="14"/>
                <w:color w:val="auto"/>
              </w:rPr>
              <w:t>Class A common stock, $0.0001 par value per share</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TDUP</w:t>
            </w:r>
          </w:p>
        </w:tc>
        <w:tc>
          <w:tcPr>
            <w:tcW w:w="160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354" w:lineRule="exact"/>
        <w:rPr>
          <w:sz w:val="24"/>
          <w:szCs w:val="24"/>
          <w:color w:val="auto"/>
        </w:rPr>
      </w:pPr>
    </w:p>
    <w:p>
      <w:pPr>
        <w:jc w:val="both"/>
        <w:ind w:firstLine="162"/>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3" w:lineRule="exact"/>
        <w:rPr>
          <w:sz w:val="24"/>
          <w:szCs w:val="24"/>
          <w:color w:val="auto"/>
        </w:rPr>
      </w:pPr>
    </w:p>
    <w:p>
      <w:pPr>
        <w:jc w:val="both"/>
        <w:ind w:firstLine="162"/>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20" w:firstLine="162"/>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60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60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0" w:type="dxa"/>
            <w:vAlign w:val="bottom"/>
          </w:tcPr>
          <w:p>
            <w:pPr>
              <w:ind w:left="160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46" w:lineRule="exact"/>
        <w:rPr>
          <w:sz w:val="24"/>
          <w:szCs w:val="24"/>
          <w:color w:val="auto"/>
        </w:rPr>
      </w:pPr>
    </w:p>
    <w:p>
      <w:pPr>
        <w:ind w:firstLine="162"/>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180"/>
        <w:spacing w:after="0" w:line="161" w:lineRule="exact"/>
        <w:tabs>
          <w:tab w:leader="none" w:pos="7500" w:val="left"/>
          <w:tab w:leader="none" w:pos="81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0" w:lineRule="exact"/>
        <w:rPr>
          <w:sz w:val="24"/>
          <w:szCs w:val="24"/>
          <w:color w:val="auto"/>
        </w:rPr>
      </w:pPr>
    </w:p>
    <w:p>
      <w:pPr>
        <w:ind w:firstLine="162"/>
        <w:spacing w:after="0" w:line="278" w:lineRule="auto"/>
        <w:rPr>
          <w:sz w:val="20"/>
          <w:szCs w:val="20"/>
          <w:color w:val="auto"/>
        </w:rPr>
      </w:pPr>
      <w:r>
        <w:rPr>
          <w:rFonts w:ascii="Arial" w:cs="Arial" w:eastAsia="Arial" w:hAnsi="Arial"/>
          <w:sz w:val="14"/>
          <w:szCs w:val="14"/>
          <w:color w:val="auto"/>
        </w:rPr>
        <w:t>The registrant had 65,594,295 shares of Class A common stock, $0.0001 par value per share, and 34,487,761 shares of Class B common stock, $0.0001 par value per share, outstanding as of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9"/>
              </w:rPr>
              <w:t>PART I. FINANCIAL INFORMATION</w:t>
            </w:r>
          </w:p>
        </w:tc>
        <w:tc>
          <w:tcPr>
            <w:tcW w:w="1140" w:type="dxa"/>
            <w:vAlign w:val="bottom"/>
          </w:tcPr>
          <w:p>
            <w:pPr>
              <w:spacing w:after="0"/>
              <w:rPr>
                <w:sz w:val="18"/>
                <w:szCs w:val="18"/>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shd w:val="clear" w:color="auto" w:fill="CCEEFF"/>
          </w:tcPr>
          <w:p>
            <w:pPr>
              <w:spacing w:after="0"/>
              <w:rPr>
                <w:sz w:val="16"/>
                <w:szCs w:val="16"/>
                <w:color w:val="auto"/>
              </w:rPr>
            </w:pPr>
          </w:p>
        </w:tc>
        <w:tc>
          <w:tcPr>
            <w:tcW w:w="896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340"/>
              <w:spacing w:after="0" w:line="189" w:lineRule="exact"/>
              <w:rPr>
                <w:sz w:val="20"/>
                <w:szCs w:val="20"/>
                <w:color w:val="auto"/>
              </w:rPr>
            </w:pPr>
            <w:r>
              <w:rPr>
                <w:rFonts w:ascii="Arial" w:cs="Arial" w:eastAsia="Arial" w:hAnsi="Arial"/>
                <w:sz w:val="18"/>
                <w:szCs w:val="18"/>
                <w:color w:val="0000FF"/>
              </w:rPr>
              <w:t>Unaudited Condensed Consolidated Balance Sheets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960" w:type="dxa"/>
            <w:vAlign w:val="bottom"/>
            <w:gridSpan w:val="20"/>
            <w:shd w:val="clear" w:color="auto" w:fill="CCEEFF"/>
          </w:tcPr>
          <w:p>
            <w:pPr>
              <w:ind w:left="340"/>
              <w:spacing w:after="0" w:line="189" w:lineRule="exact"/>
              <w:rPr>
                <w:sz w:val="20"/>
                <w:szCs w:val="20"/>
                <w:color w:val="auto"/>
              </w:rPr>
            </w:pPr>
            <w:r>
              <w:rPr>
                <w:rFonts w:ascii="Arial" w:cs="Arial" w:eastAsia="Arial" w:hAnsi="Arial"/>
                <w:sz w:val="18"/>
                <w:szCs w:val="18"/>
                <w:color w:val="0000FF"/>
              </w:rPr>
              <w:t>Unaudited Condensed Consolidated Statements of Operations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w:t>
            </w: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340"/>
              <w:spacing w:after="0" w:line="189" w:lineRule="exact"/>
              <w:rPr>
                <w:sz w:val="20"/>
                <w:szCs w:val="20"/>
                <w:color w:val="auto"/>
              </w:rPr>
            </w:pPr>
            <w:r>
              <w:rPr>
                <w:rFonts w:ascii="Arial" w:cs="Arial" w:eastAsia="Arial" w:hAnsi="Arial"/>
                <w:sz w:val="18"/>
                <w:szCs w:val="18"/>
                <w:color w:val="0000FF"/>
              </w:rPr>
              <w:t>Unaudited Condensed Consolidated Statements of Comprehensive Loss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7</w:t>
            </w: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960" w:type="dxa"/>
            <w:vAlign w:val="bottom"/>
            <w:gridSpan w:val="20"/>
            <w:shd w:val="clear" w:color="auto" w:fill="CCEEFF"/>
          </w:tcPr>
          <w:p>
            <w:pPr>
              <w:ind w:left="340"/>
              <w:spacing w:after="0" w:line="189" w:lineRule="exact"/>
              <w:rPr>
                <w:sz w:val="20"/>
                <w:szCs w:val="20"/>
                <w:color w:val="auto"/>
              </w:rPr>
            </w:pPr>
            <w:r>
              <w:rPr>
                <w:rFonts w:ascii="Arial" w:cs="Arial" w:eastAsia="Arial" w:hAnsi="Arial"/>
                <w:sz w:val="18"/>
                <w:szCs w:val="18"/>
                <w:color w:val="0000FF"/>
              </w:rPr>
              <w:t>Unaudited Condensed Consolidated Statements of Convertible Preferred Stock and Stockholders’ Equity</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w:t>
            </w: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340"/>
              <w:spacing w:after="0" w:line="189" w:lineRule="exact"/>
              <w:rPr>
                <w:sz w:val="20"/>
                <w:szCs w:val="20"/>
                <w:color w:val="auto"/>
              </w:rPr>
            </w:pPr>
            <w:r>
              <w:rPr>
                <w:rFonts w:ascii="Arial" w:cs="Arial" w:eastAsia="Arial" w:hAnsi="Arial"/>
                <w:sz w:val="18"/>
                <w:szCs w:val="18"/>
                <w:color w:val="0000FF"/>
              </w:rPr>
              <w:t>Unaudited Condensed Consolidated Statements of Cash Flows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9</w:t>
            </w: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960" w:type="dxa"/>
            <w:vAlign w:val="bottom"/>
            <w:gridSpan w:val="20"/>
            <w:shd w:val="clear" w:color="auto" w:fill="CCEEFF"/>
          </w:tcPr>
          <w:p>
            <w:pPr>
              <w:ind w:left="340"/>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10</w:t>
            </w: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19</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2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240" w:type="dxa"/>
            <w:vAlign w:val="bottom"/>
            <w:tcBorders>
              <w:bottom w:val="single" w:sz="8" w:color="CCEEFF"/>
            </w:tcBorders>
            <w:gridSpan w:val="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w:t>
            </w: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Controls and Procedures</w:t>
            </w:r>
          </w:p>
        </w:tc>
        <w:tc>
          <w:tcPr>
            <w:tcW w:w="1140" w:type="dxa"/>
            <w:vAlign w:val="bottom"/>
          </w:tcPr>
          <w:p>
            <w:pPr>
              <w:spacing w:after="0"/>
              <w:rPr>
                <w:sz w:val="16"/>
                <w:szCs w:val="16"/>
                <w:color w:val="auto"/>
              </w:rPr>
            </w:pPr>
          </w:p>
        </w:tc>
      </w:tr>
      <w:tr>
        <w:trPr>
          <w:trHeight w:val="520"/>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8"/>
              </w:rPr>
              <w:t>PART II. FINANCIAL INFORMATION</w:t>
            </w:r>
          </w:p>
        </w:tc>
        <w:tc>
          <w:tcPr>
            <w:tcW w:w="1140" w:type="dxa"/>
            <w:vAlign w:val="bottom"/>
          </w:tcPr>
          <w:p>
            <w:pPr>
              <w:spacing w:after="0"/>
              <w:rPr>
                <w:sz w:val="24"/>
                <w:szCs w:val="24"/>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460" w:type="dxa"/>
            <w:vAlign w:val="bottom"/>
            <w:tcBorders>
              <w:bottom w:val="single" w:sz="8" w:color="CCEEFF"/>
            </w:tcBorders>
            <w:gridSpan w:val="14"/>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34</w:t>
            </w: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Risk Factors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34</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20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100" w:type="dxa"/>
            <w:vAlign w:val="bottom"/>
            <w:tcBorders>
              <w:bottom w:val="single" w:sz="8" w:color="CCEEFF"/>
            </w:tcBorders>
            <w:gridSpan w:val="7"/>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34</w:t>
            </w: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Defaults Upon Senior Securities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35</w:t>
            </w: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2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7020" w:type="dxa"/>
            <w:vAlign w:val="bottom"/>
            <w:tcBorders>
              <w:bottom w:val="single" w:sz="8" w:color="CCEEFF"/>
            </w:tcBorders>
            <w:gridSpan w:val="1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35</w:t>
            </w: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5.</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Other Information</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35</w:t>
            </w: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98"/>
              </w:rPr>
              <w:t>Exhibits</w:t>
            </w:r>
          </w:p>
        </w:tc>
        <w:tc>
          <w:tcPr>
            <w:tcW w:w="8320" w:type="dxa"/>
            <w:vAlign w:val="bottom"/>
            <w:tcBorders>
              <w:bottom w:val="single" w:sz="8" w:color="CCEEFF"/>
            </w:tcBorders>
            <w:gridSpan w:val="1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36</w:t>
            </w: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Signature</w:t>
            </w:r>
            <w:r>
              <w:rPr>
                <w:rFonts w:ascii="Arial" w:cs="Arial" w:eastAsia="Arial" w:hAnsi="Arial"/>
                <w:sz w:val="18"/>
                <w:szCs w:val="18"/>
                <w:color w:val="000000"/>
              </w:rPr>
              <w:t>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37</w:t>
            </w:r>
          </w:p>
        </w:tc>
      </w:tr>
      <w:tr>
        <w:trPr>
          <w:trHeight w:val="844"/>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0000FF"/>
            </w:tcBorders>
            <w:gridSpan w:val="3"/>
          </w:tcPr>
          <w:p>
            <w:pPr>
              <w:spacing w:after="0"/>
              <w:rPr>
                <w:sz w:val="24"/>
                <w:szCs w:val="24"/>
                <w:color w:val="auto"/>
              </w:rPr>
            </w:pPr>
          </w:p>
        </w:tc>
        <w:tc>
          <w:tcPr>
            <w:tcW w:w="3940" w:type="dxa"/>
            <w:vAlign w:val="bottom"/>
            <w:gridSpan w:val="9"/>
          </w:tcPr>
          <w:p>
            <w:pPr>
              <w:jc w:val="center"/>
              <w:ind w:left="339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7" w:lineRule="exact"/>
        <w:rPr>
          <w:sz w:val="20"/>
          <w:szCs w:val="20"/>
          <w:color w:val="auto"/>
        </w:rPr>
      </w:pPr>
    </w:p>
    <w:p>
      <w:pPr>
        <w:ind w:left="660" w:hanging="328"/>
        <w:spacing w:after="0" w:line="282"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revenue, cost of revenue and operating expenses and our ability to achieve and maintain future profitability;</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cash, cash equivalents and capital resources to meet our liquidity needs;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117" w:lineRule="exact"/>
        <w:rPr>
          <w:rFonts w:ascii="Arial" w:cs="Arial" w:eastAsia="Arial" w:hAnsi="Arial"/>
          <w:sz w:val="18"/>
          <w:szCs w:val="18"/>
          <w:i w:val="1"/>
          <w:iCs w:val="1"/>
          <w:color w:val="auto"/>
        </w:rPr>
      </w:pPr>
    </w:p>
    <w:p>
      <w:pPr>
        <w:ind w:left="660" w:hanging="328"/>
        <w:spacing w:after="0" w:line="282"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 including our expectations regarding future infrastructure investments as well as restructuring activities;</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the continued impact of network effects as we scale our platform;</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generate revenue from new Resale-as-a-Service (“RaaS”) offerings that are our future sources of revenue;</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our key financial and operating metrics;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117" w:lineRule="exact"/>
        <w:rPr>
          <w:rFonts w:ascii="Arial" w:cs="Arial" w:eastAsia="Arial" w:hAnsi="Arial"/>
          <w:sz w:val="18"/>
          <w:szCs w:val="18"/>
          <w:i w:val="1"/>
          <w:iCs w:val="1"/>
          <w:color w:val="auto"/>
        </w:rPr>
      </w:pPr>
    </w:p>
    <w:p>
      <w:pPr>
        <w:ind w:left="660" w:hanging="328"/>
        <w:spacing w:after="0" w:line="282"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 including the effects of foreign currency exchange rate fluctuations, increased inflation and changing consumer habits and general global economic uncertainty;</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laws and regulations;</w:t>
      </w:r>
    </w:p>
    <w:p>
      <w:pPr>
        <w:spacing w:after="0" w:line="117" w:lineRule="exact"/>
        <w:rPr>
          <w:rFonts w:ascii="Arial" w:cs="Arial" w:eastAsia="Arial" w:hAnsi="Arial"/>
          <w:sz w:val="18"/>
          <w:szCs w:val="18"/>
          <w:i w:val="1"/>
          <w:iCs w:val="1"/>
          <w:color w:val="auto"/>
        </w:rPr>
      </w:pPr>
    </w:p>
    <w:p>
      <w:pPr>
        <w:jc w:val="both"/>
        <w:ind w:left="660" w:hanging="328"/>
        <w:spacing w:after="0" w:line="266"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uncertainties related to the ongoing global COVID-19 pandemic, including as a result of any new strains or variants of the virus and recovery therefrom on United States and global economies, our business, results of operations, financial condition, demand for secondhand and resale items, sales cycles and buyer and seller retention;</w:t>
      </w:r>
    </w:p>
    <w:p>
      <w:pPr>
        <w:spacing w:after="0" w:line="6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remediate our material weakness in our internal control over financial reporting;</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and realize the benefits of our past or future strategic acquisitions or investments; and</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expenses associated with being a public company.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The outcome of the events described in these forward-looking statements is subject to risks, uncertainties and other factors described in the section titled “Risk Factors” in our Annual Report on Form 10-K filed with the SEC on March 22, 2022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 and its consolidated subsidiaries.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based primarily on items processed, items sold and the capacity of our distribution centers.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7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gridSpan w:val="4"/>
          </w:tcPr>
          <w:p>
            <w:pPr>
              <w:jc w:val="right"/>
              <w:ind w:right="311"/>
              <w:spacing w:after="0"/>
              <w:rPr>
                <w:sz w:val="20"/>
                <w:szCs w:val="20"/>
                <w:color w:val="auto"/>
              </w:rPr>
            </w:pPr>
            <w:r>
              <w:rPr>
                <w:rFonts w:ascii="Arial" w:cs="Arial" w:eastAsia="Arial" w:hAnsi="Arial"/>
                <w:sz w:val="14"/>
                <w:szCs w:val="14"/>
                <w:i w:val="1"/>
                <w:iCs w:val="1"/>
                <w:color w:val="auto"/>
              </w:rPr>
              <w:t>(in thousands, except par value amounts)</w:t>
            </w:r>
          </w:p>
        </w:tc>
      </w:tr>
      <w:tr>
        <w:trPr>
          <w:trHeight w:val="236"/>
        </w:trPr>
        <w:tc>
          <w:tcPr>
            <w:tcW w:w="778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84,550</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96,326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121,277</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9,825</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177,694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228,413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84,045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55,466</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13,854</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w:t>
            </w: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345,898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360,826</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48,590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45,253</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Seller payable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100,142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89,413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27,559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23"/>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177,969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155,092</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88"/>
        </w:trPr>
        <w:tc>
          <w:tcPr>
            <w:tcW w:w="77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Class A and B common stock, $0.0001 par value; 1,120,000 shares authorized as of June 30,</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9"/>
        </w:trPr>
        <w:tc>
          <w:tcPr>
            <w:tcW w:w="77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2022 and December 31, 2021; 99,953 and 98,435 shares issued and outstanding as of</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2022 and December 31, 2021, respectively</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537,760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522,161</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(364,450)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(315,343)</w:t>
            </w:r>
          </w:p>
        </w:tc>
      </w:tr>
      <w:tr>
        <w:trPr>
          <w:trHeight w:val="22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167,929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205,734</w:t>
            </w: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345,898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360,826</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6"/>
                <w:szCs w:val="16"/>
                <w:color w:val="auto"/>
              </w:rPr>
            </w:pPr>
          </w:p>
        </w:tc>
      </w:tr>
      <w:tr>
        <w:trPr>
          <w:trHeight w:val="208"/>
        </w:trPr>
        <w:tc>
          <w:tcPr>
            <w:tcW w:w="4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196"/>
        </w:trPr>
        <w:tc>
          <w:tcPr>
            <w:tcW w:w="44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196"/>
        </w:trPr>
        <w:tc>
          <w:tcPr>
            <w:tcW w:w="4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6"/>
          </w:tcPr>
          <w:p>
            <w:pPr>
              <w:ind w:left="320"/>
              <w:spacing w:after="0"/>
              <w:rPr>
                <w:sz w:val="20"/>
                <w:szCs w:val="20"/>
                <w:color w:val="auto"/>
              </w:rPr>
            </w:pPr>
            <w:r>
              <w:rPr>
                <w:rFonts w:ascii="Arial" w:cs="Arial" w:eastAsia="Arial" w:hAnsi="Arial"/>
                <w:sz w:val="14"/>
                <w:szCs w:val="14"/>
                <w:i w:val="1"/>
                <w:iCs w:val="1"/>
                <w:color w:val="auto"/>
              </w:rPr>
              <w:t>(in thousands, except per share amounts)</w:t>
            </w: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48,536</w:t>
            </w:r>
          </w:p>
        </w:tc>
        <w:tc>
          <w:tcPr>
            <w:tcW w:w="100" w:type="dxa"/>
            <w:vAlign w:val="bottom"/>
          </w:tcPr>
          <w:p>
            <w:pPr>
              <w:spacing w:after="0"/>
              <w:rPr>
                <w:sz w:val="19"/>
                <w:szCs w:val="19"/>
                <w:color w:val="auto"/>
              </w:rPr>
            </w:pPr>
          </w:p>
        </w:tc>
        <w:tc>
          <w:tcPr>
            <w:tcW w:w="660" w:type="dxa"/>
            <w:vAlign w:val="bottom"/>
          </w:tcPr>
          <w:p>
            <w:pPr>
              <w:jc w:val="right"/>
              <w:ind w:right="47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48,597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95,971</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93,285</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53,145</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22,354</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149,116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115,639</w:t>
            </w: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20,267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21,519</w:t>
            </w: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31,789</w:t>
            </w: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102,876</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83,850</w:t>
            </w:r>
          </w:p>
        </w:tc>
      </w:tr>
      <w:tr>
        <w:trPr>
          <w:trHeight w:val="209"/>
        </w:trPr>
        <w:tc>
          <w:tcPr>
            <w:tcW w:w="4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59,374</w:t>
            </w: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19,640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36,618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31,403</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32,044</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21,637</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151,784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112,414</w:t>
            </w: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(28,564)</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(28,390)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(49,085)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(30,510)</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(49,107)</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(30,550)</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188"/>
        </w:trPr>
        <w:tc>
          <w:tcPr>
            <w:tcW w:w="444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in computing net loss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per share, basic and diluted</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99,331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94,435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98,979</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56,777</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6"/>
                <w:szCs w:val="16"/>
                <w:color w:val="auto"/>
              </w:rPr>
            </w:pPr>
          </w:p>
        </w:tc>
      </w:tr>
      <w:tr>
        <w:trPr>
          <w:trHeight w:val="208"/>
        </w:trPr>
        <w:tc>
          <w:tcPr>
            <w:tcW w:w="4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196"/>
        </w:trPr>
        <w:tc>
          <w:tcPr>
            <w:tcW w:w="44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96"/>
        </w:trPr>
        <w:tc>
          <w:tcPr>
            <w:tcW w:w="4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(28,399)</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(49,107)</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(30,550)</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loss on available-for-sale debt securities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comprehensive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(30,986)</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2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rPr>
              <w:t>Convertible</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8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restart"/>
          </w:tcPr>
          <w:p>
            <w:pPr>
              <w:jc w:val="center"/>
              <w:ind w:right="200"/>
              <w:spacing w:after="0" w:line="148"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restart"/>
          </w:tcPr>
          <w:p>
            <w:pPr>
              <w:jc w:val="center"/>
              <w:ind w:right="128"/>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7"/>
        </w:trPr>
        <w:tc>
          <w:tcPr>
            <w:tcW w:w="2320" w:type="dxa"/>
            <w:vAlign w:val="bottom"/>
          </w:tcPr>
          <w:p>
            <w:pPr>
              <w:spacing w:after="0"/>
              <w:rPr>
                <w:sz w:val="5"/>
                <w:szCs w:val="5"/>
                <w:color w:val="auto"/>
              </w:rPr>
            </w:pPr>
          </w:p>
        </w:tc>
        <w:tc>
          <w:tcPr>
            <w:tcW w:w="21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1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rPr>
              <w:t>Additional</w:t>
            </w:r>
          </w:p>
        </w:tc>
        <w:tc>
          <w:tcPr>
            <w:tcW w:w="120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tcPr>
          <w:p>
            <w:pPr>
              <w:jc w:val="center"/>
              <w:ind w:right="80"/>
              <w:spacing w:after="0" w:line="12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6"/>
          </w:tcPr>
          <w:p>
            <w:pPr>
              <w:ind w:left="70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98,435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522,161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205,734</w:t>
            </w: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4"/>
                <w:szCs w:val="14"/>
                <w:color w:val="auto"/>
              </w:rPr>
              <w:t>Issuance of common stock to</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180"/>
              <w:spacing w:after="0"/>
              <w:rPr>
                <w:sz w:val="20"/>
                <w:szCs w:val="20"/>
                <w:color w:val="auto"/>
              </w:rPr>
            </w:pPr>
            <w:r>
              <w:rPr>
                <w:rFonts w:ascii="Arial" w:cs="Arial" w:eastAsia="Arial" w:hAnsi="Arial"/>
                <w:sz w:val="14"/>
                <w:szCs w:val="14"/>
                <w:color w:val="auto"/>
              </w:rPr>
              <w:t>settle restricted stock units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(20,708)</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March 31, 2022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98,942</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526,533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187,688</w:t>
            </w:r>
          </w:p>
        </w:tc>
        <w:tc>
          <w:tcPr>
            <w:tcW w:w="0" w:type="dxa"/>
            <w:vAlign w:val="bottom"/>
          </w:tcPr>
          <w:p>
            <w:pPr>
              <w:spacing w:after="0"/>
              <w:rPr>
                <w:sz w:val="1"/>
                <w:szCs w:val="1"/>
                <w:color w:val="auto"/>
              </w:rPr>
            </w:pPr>
          </w:p>
        </w:tc>
      </w:tr>
      <w:tr>
        <w:trPr>
          <w:trHeight w:val="197"/>
        </w:trPr>
        <w:tc>
          <w:tcPr>
            <w:tcW w:w="23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10,353</w:t>
            </w: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4"/>
                <w:szCs w:val="14"/>
                <w:color w:val="auto"/>
              </w:rPr>
              <w:t>Issuance of common stock to</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180"/>
              <w:spacing w:after="0"/>
              <w:rPr>
                <w:sz w:val="20"/>
                <w:szCs w:val="20"/>
                <w:color w:val="auto"/>
              </w:rPr>
            </w:pPr>
            <w:r>
              <w:rPr>
                <w:rFonts w:ascii="Arial" w:cs="Arial" w:eastAsia="Arial" w:hAnsi="Arial"/>
                <w:sz w:val="14"/>
                <w:szCs w:val="14"/>
                <w:color w:val="auto"/>
              </w:rPr>
              <w:t>settle restricted stock units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from</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(2,587)</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(28,399)</w:t>
            </w:r>
          </w:p>
        </w:tc>
        <w:tc>
          <w:tcPr>
            <w:tcW w:w="0" w:type="dxa"/>
            <w:vAlign w:val="bottom"/>
          </w:tcPr>
          <w:p>
            <w:pPr>
              <w:spacing w:after="0"/>
              <w:rPr>
                <w:sz w:val="1"/>
                <w:szCs w:val="1"/>
                <w:color w:val="auto"/>
              </w:rPr>
            </w:pPr>
          </w:p>
        </w:tc>
      </w:tr>
      <w:tr>
        <w:trPr>
          <w:trHeight w:val="202"/>
        </w:trPr>
        <w:tc>
          <w:tcPr>
            <w:tcW w:w="2320" w:type="dxa"/>
            <w:vAlign w:val="bottom"/>
          </w:tcPr>
          <w:p>
            <w:pPr>
              <w:ind w:left="20"/>
              <w:spacing w:after="0"/>
              <w:rPr>
                <w:sz w:val="20"/>
                <w:szCs w:val="20"/>
                <w:color w:val="auto"/>
              </w:rPr>
            </w:pPr>
            <w:r>
              <w:rPr>
                <w:rFonts w:ascii="Arial" w:cs="Arial" w:eastAsia="Arial" w:hAnsi="Arial"/>
                <w:sz w:val="14"/>
                <w:szCs w:val="14"/>
                <w:color w:val="auto"/>
              </w:rPr>
              <w:t>Balance as of June 30, 2022</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99,953</w:t>
            </w:r>
          </w:p>
        </w:tc>
        <w:tc>
          <w:tcPr>
            <w:tcW w:w="80" w:type="dxa"/>
            <w:vAlign w:val="bottom"/>
          </w:tcPr>
          <w:p>
            <w:pPr>
              <w:spacing w:after="0"/>
              <w:rPr>
                <w:sz w:val="17"/>
                <w:szCs w:val="17"/>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537,760</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(5,391)</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(364,450)</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167,929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320" w:type="dxa"/>
            <w:vAlign w:val="bottom"/>
          </w:tcPr>
          <w:p>
            <w:pPr>
              <w:spacing w:after="0"/>
              <w:rPr>
                <w:sz w:val="24"/>
                <w:szCs w:val="24"/>
                <w:color w:val="auto"/>
              </w:rPr>
            </w:pPr>
          </w:p>
        </w:tc>
        <w:tc>
          <w:tcPr>
            <w:tcW w:w="22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rPr>
              <w:t>Convertible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restart"/>
          </w:tcPr>
          <w:p>
            <w:pPr>
              <w:jc w:val="center"/>
              <w:ind w:right="12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21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vMerge w:val="restart"/>
          </w:tcPr>
          <w:p>
            <w:pPr>
              <w:spacing w:after="0"/>
              <w:rPr>
                <w:sz w:val="5"/>
                <w:szCs w:val="5"/>
                <w:color w:val="auto"/>
              </w:rPr>
            </w:pPr>
          </w:p>
        </w:tc>
        <w:tc>
          <w:tcPr>
            <w:tcW w:w="18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1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8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rPr>
              <w:t>Additional</w:t>
            </w:r>
          </w:p>
        </w:tc>
        <w:tc>
          <w:tcPr>
            <w:tcW w:w="120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tcPr>
          <w:p>
            <w:pPr>
              <w:jc w:val="center"/>
              <w:ind w:right="80"/>
              <w:spacing w:after="0" w:line="12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6"/>
          </w:tcPr>
          <w:p>
            <w:pPr>
              <w:ind w:left="70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247,041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(222,177)</w:t>
            </w:r>
          </w:p>
        </w:tc>
        <w:tc>
          <w:tcPr>
            <w:tcW w:w="0" w:type="dxa"/>
            <w:vAlign w:val="bottom"/>
          </w:tcPr>
          <w:p>
            <w:pPr>
              <w:spacing w:after="0"/>
              <w:rPr>
                <w:sz w:val="1"/>
                <w:szCs w:val="1"/>
                <w:color w:val="auto"/>
              </w:rPr>
            </w:pPr>
          </w:p>
        </w:tc>
      </w:tr>
      <w:tr>
        <w:trPr>
          <w:trHeight w:val="197"/>
        </w:trPr>
        <w:tc>
          <w:tcPr>
            <w:tcW w:w="23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Conversion of preferred stock</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180"/>
              <w:spacing w:after="0" w:line="149" w:lineRule="exact"/>
              <w:rPr>
                <w:sz w:val="20"/>
                <w:szCs w:val="20"/>
                <w:color w:val="auto"/>
              </w:rPr>
            </w:pPr>
            <w:r>
              <w:rPr>
                <w:rFonts w:ascii="Arial" w:cs="Arial" w:eastAsia="Arial" w:hAnsi="Arial"/>
                <w:sz w:val="14"/>
                <w:szCs w:val="14"/>
                <w:color w:val="auto"/>
              </w:rPr>
              <w:t>warrants to Class B common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20" w:type="dxa"/>
            <w:vAlign w:val="bottom"/>
          </w:tcPr>
          <w:p>
            <w:pPr>
              <w:ind w:left="180"/>
              <w:spacing w:after="0"/>
              <w:rPr>
                <w:sz w:val="20"/>
                <w:szCs w:val="20"/>
                <w:color w:val="auto"/>
              </w:rPr>
            </w:pPr>
            <w:r>
              <w:rPr>
                <w:rFonts w:ascii="Arial" w:cs="Arial" w:eastAsia="Arial" w:hAnsi="Arial"/>
                <w:sz w:val="14"/>
                <w:szCs w:val="14"/>
                <w:color w:val="auto"/>
              </w:rPr>
              <w:t>stock warrants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Preferred stock conversion to</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(65,971)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(247,041)</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65,971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247,034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247,041</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common stock</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Sale of Class A common stock</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180"/>
              <w:spacing w:after="0" w:line="149" w:lineRule="exact"/>
              <w:rPr>
                <w:sz w:val="20"/>
                <w:szCs w:val="20"/>
                <w:color w:val="auto"/>
              </w:rPr>
            </w:pPr>
            <w:r>
              <w:rPr>
                <w:rFonts w:ascii="Arial" w:cs="Arial" w:eastAsia="Arial" w:hAnsi="Arial"/>
                <w:sz w:val="14"/>
                <w:szCs w:val="14"/>
                <w:color w:val="auto"/>
              </w:rPr>
              <w:t>upon initial public offering, net</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20" w:type="dxa"/>
            <w:vAlign w:val="bottom"/>
          </w:tcPr>
          <w:p>
            <w:pPr>
              <w:ind w:left="180"/>
              <w:spacing w:after="0"/>
              <w:rPr>
                <w:sz w:val="20"/>
                <w:szCs w:val="20"/>
                <w:color w:val="auto"/>
              </w:rPr>
            </w:pPr>
            <w:r>
              <w:rPr>
                <w:rFonts w:ascii="Arial" w:cs="Arial" w:eastAsia="Arial" w:hAnsi="Arial"/>
                <w:sz w:val="14"/>
                <w:szCs w:val="14"/>
                <w:color w:val="auto"/>
              </w:rPr>
              <w:t>of issuance costs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13,800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175,533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175,534</w:t>
            </w: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Cashless exercise of common</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warrant</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(16,171)</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March 31, 2021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94,144</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459,756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191,427</w:t>
            </w: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Cashless exercise of common</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320" w:type="dxa"/>
            <w:vAlign w:val="bottom"/>
          </w:tcPr>
          <w:p>
            <w:pPr>
              <w:ind w:left="180"/>
              <w:spacing w:after="0"/>
              <w:rPr>
                <w:sz w:val="20"/>
                <w:szCs w:val="20"/>
                <w:color w:val="auto"/>
              </w:rPr>
            </w:pPr>
            <w:r>
              <w:rPr>
                <w:rFonts w:ascii="Arial" w:cs="Arial" w:eastAsia="Arial" w:hAnsi="Arial"/>
                <w:sz w:val="14"/>
                <w:szCs w:val="14"/>
                <w:color w:val="auto"/>
              </w:rPr>
              <w:t>stock warrant</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Issuance of common stock to</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 restricted stock units</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Withholding taxes for the net</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80"/>
              <w:spacing w:after="0" w:line="149" w:lineRule="exact"/>
              <w:rPr>
                <w:sz w:val="20"/>
                <w:szCs w:val="20"/>
                <w:color w:val="auto"/>
              </w:rPr>
            </w:pPr>
            <w:r>
              <w:rPr>
                <w:rFonts w:ascii="Arial" w:cs="Arial" w:eastAsia="Arial" w:hAnsi="Arial"/>
                <w:sz w:val="14"/>
                <w:szCs w:val="14"/>
                <w:color w:val="auto"/>
              </w:rPr>
              <w:t>share settlement of restricted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20" w:type="dxa"/>
            <w:vAlign w:val="bottom"/>
          </w:tcPr>
          <w:p>
            <w:pPr>
              <w:ind w:left="180"/>
              <w:spacing w:after="0"/>
              <w:rPr>
                <w:sz w:val="20"/>
                <w:szCs w:val="20"/>
                <w:color w:val="auto"/>
              </w:rPr>
            </w:pPr>
            <w:r>
              <w:rPr>
                <w:rFonts w:ascii="Arial" w:cs="Arial" w:eastAsia="Arial" w:hAnsi="Arial"/>
                <w:sz w:val="14"/>
                <w:szCs w:val="14"/>
                <w:color w:val="auto"/>
              </w:rPr>
              <w:t>stock units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(14,379)</w:t>
            </w:r>
          </w:p>
        </w:tc>
        <w:tc>
          <w:tcPr>
            <w:tcW w:w="0" w:type="dxa"/>
            <w:vAlign w:val="bottom"/>
          </w:tcPr>
          <w:p>
            <w:pPr>
              <w:spacing w:after="0"/>
              <w:rPr>
                <w:sz w:val="1"/>
                <w:szCs w:val="1"/>
                <w:color w:val="auto"/>
              </w:rPr>
            </w:pPr>
          </w:p>
        </w:tc>
      </w:tr>
      <w:tr>
        <w:trPr>
          <w:trHeight w:val="22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June 30, 2021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94,780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463,582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(282,717)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180,838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r>
      <w:tr>
        <w:trPr>
          <w:trHeight w:val="208"/>
        </w:trPr>
        <w:tc>
          <w:tcPr>
            <w:tcW w:w="7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196"/>
        </w:trPr>
        <w:tc>
          <w:tcPr>
            <w:tcW w:w="7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196"/>
        </w:trPr>
        <w:tc>
          <w:tcPr>
            <w:tcW w:w="7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3"/>
          </w:tcPr>
          <w:p>
            <w:pPr>
              <w:jc w:val="center"/>
              <w:ind w:left="572"/>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7"/>
                <w:szCs w:val="17"/>
                <w:color w:val="auto"/>
              </w:rPr>
            </w:pPr>
          </w:p>
        </w:tc>
      </w:tr>
      <w:tr>
        <w:trPr>
          <w:trHeight w:val="23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(49,107)</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(30,550)</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6,678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3,899</w:t>
            </w:r>
          </w:p>
        </w:tc>
      </w:tr>
      <w:tr>
        <w:trPr>
          <w:trHeight w:val="230"/>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Reduction in the carrying amount of right-of-use assets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2,384</w:t>
            </w:r>
          </w:p>
        </w:tc>
      </w:tr>
      <w:tr>
        <w:trPr>
          <w:trHeight w:val="230"/>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fair value of convertible preferred stock warrants and others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Inventory, net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and non-current assets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30"/>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and other current liabilities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Seller payable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2,985</w:t>
            </w:r>
          </w:p>
        </w:tc>
      </w:tr>
      <w:tr>
        <w:trPr>
          <w:trHeight w:val="230"/>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r>
      <w:tr>
        <w:trPr>
          <w:trHeight w:val="229"/>
        </w:trPr>
        <w:tc>
          <w:tcPr>
            <w:tcW w:w="77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marketable securities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(57,418)</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Maturities of marketable securities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26,294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w:t>
            </w:r>
          </w:p>
        </w:tc>
      </w:tr>
      <w:tr>
        <w:trPr>
          <w:trHeight w:val="223"/>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(66,417)</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debt issuance</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4,625</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780" w:type="dxa"/>
            <w:vAlign w:val="bottom"/>
          </w:tcPr>
          <w:p>
            <w:pPr>
              <w:ind w:left="180"/>
              <w:spacing w:after="0" w:line="189" w:lineRule="exact"/>
              <w:rPr>
                <w:sz w:val="20"/>
                <w:szCs w:val="20"/>
                <w:color w:val="auto"/>
              </w:rPr>
            </w:pPr>
            <w:r>
              <w:rPr>
                <w:rFonts w:ascii="Arial" w:cs="Arial" w:eastAsia="Arial" w:hAnsi="Arial"/>
                <w:sz w:val="18"/>
                <w:szCs w:val="18"/>
                <w:color w:val="auto"/>
              </w:rPr>
              <w:t>Proceeds from issuance of Class A common stock, net of underwriting discounts and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commissions</w:t>
            </w:r>
          </w:p>
        </w:tc>
        <w:tc>
          <w:tcPr>
            <w:tcW w:w="4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180,284</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issued under incentive and purchase plans, net of forfeitures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Payment of costs for the initial public offering</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(3,633)</w:t>
            </w:r>
          </w:p>
        </w:tc>
      </w:tr>
      <w:tr>
        <w:trPr>
          <w:trHeight w:val="223"/>
        </w:trPr>
        <w:tc>
          <w:tcPr>
            <w:tcW w:w="77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184,081</w:t>
            </w:r>
          </w:p>
        </w:tc>
      </w:tr>
      <w:tr>
        <w:trPr>
          <w:trHeight w:val="229"/>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108,574</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91,840</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67,539</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59,388</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176,113</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is a large resale platform that enables consumers to buy and sell primarily secondhand women’s and kid’s apparel, shoes and accessories. The Company has corporate offices in Oakland, California; Scottsdale, Arizona; and Sofia, Bulgaria; distribution centers in Pennsylvania, Georgia, Arizona and Bulgaria; and a processing center in Texas. We have additional distribution centers in Texas and Bulgaria under construction.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 and Use of Estimates</w:t>
      </w:r>
    </w:p>
    <w:p>
      <w:pPr>
        <w:spacing w:after="0" w:line="135"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As permitted under those rules, certain footnotes or other financial information can be condensed or omitted.</w:t>
      </w:r>
    </w:p>
    <w:p>
      <w:pPr>
        <w:spacing w:after="0" w:line="21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allowance for bad debts, breakage on loyalty points and rewards and valuation of inventory, stock-based compensation, right-of-use assets, goodwill and acquired intangibles and income taxes.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and recurring adjustments necessary to present fairly the financial position of the Company as of June 30, 2022, and the results of operations and cash flows for the interim periods presented.</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Company’s audited consolidated financial statements and related notes for the year ended December 31, 2021, included in the Company’s Annual Report on Form 10-K filed with the Securities and Exchange Commission (“SEC”) on March 22, 2022.</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Certain reclassifications were made to the prior period condensed consolidated statement of operations to conform to the current period presentation. The Company reclassified interest expense from Interest and other (expense) income, net to a separate line item within the condensed consolidated statements of operations.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Concentrations of Credit Risk</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marketable securities and accounts receivable. The Company deposits cash at major financial institutions, and at times, such cash may exceed federally insured limits. The credit risk is believed to be minimal due to the financial position of the depository institutions in which those deposits are held. The Company has never experienced any losses on deposits since inception. The Company’s investment policy restricts cash investments to highly liquid, short- to intermediate-term, high-grade fixed income securities, and as a result, the Company believes its cash equivalents and marketable securities represent minimal credit risk.</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from Loyalty Reward Redemption or Expiration</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June 30, 2022 and December 31, 2021, the Company had a liability of $3.3 million and $4.0 million, respectively, related to the loyalty program which is included in accrued and other current liabilities within the Company’s condensed consolidated balance sheets. The Company recognized $2.5 million and $3.4 million of revenue from loyalty reward redemption or expiration for the three months ended June 30, 2022 and June 30, 2021, respectively, and $5.2 million and $6.7 million for the six months ended June 30, 2022 and June 30, 2021, respectively.</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Loss Per Share</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follows the two-class method when computing net loss per share when shares issued meet the definition of participating securities. The rights, including the liquidation and dividend rights and sharing of losses, of the Class A common stock and Class B common stock are identical, other than voting rights. As the liquidation and dividend rights and sharing of losses are identical, the undistributed earnings are allocated on a proportionate basis and the resulting net loss per share will, therefore, be the same for both Class A and Class B common stock on an individual or combined basis.</w:t>
      </w:r>
    </w:p>
    <w:p>
      <w:pPr>
        <w:spacing w:after="0" w:line="20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For periods in which the Company reports net losses, diluted net loss per share is the same as basic net loss per share , because potentially dilutive common shares are not assumed to have been issued if their effect is anti-dilutive.</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to the amounts shown in the condensed consolidated statements of cash flows:</w:t>
      </w:r>
    </w:p>
    <w:p>
      <w:pPr>
        <w:spacing w:after="0" w:line="253"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5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r>
      <w:tr>
        <w:trPr>
          <w:trHeight w:val="196"/>
        </w:trPr>
        <w:tc>
          <w:tcPr>
            <w:tcW w:w="5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4"/>
          </w:tcPr>
          <w:p>
            <w:pPr>
              <w:jc w:val="right"/>
              <w:ind w:right="1216"/>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84,550</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91,840</w:t>
            </w: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Restricted cash, non-current of $6.5 million and $6.7 million is included in the other assets in the condensed consolidated balance sheets as of June 30, 2022 and December 31, 2021, respectively.</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Fair value accounting is applied for all financial assets and liabilities that are recognized or disclosed at fair value within the Company’s condensed consolidated financial statements on a recurring basis (at least annually). As of June 30, 2022 and December 31, 2021, the carrying amount of accounts receivable, other current assets, other assets, accounts payable, seller payable and accrued and other current liabilities approximated their estimated fair value due to their relatively short maturities. Management believes the terms of its long-term debt reflect current market conditions for an instrument with similar terms and maturity, therefore the carrying value of the Company’s debt approximated its fair value.</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Assets and liabilities recorded at fair value on a recurring basis within the Company’s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99" w:lineRule="exact"/>
        <w:rPr>
          <w:sz w:val="20"/>
          <w:szCs w:val="20"/>
          <w:color w:val="auto"/>
        </w:rPr>
      </w:pPr>
    </w:p>
    <w:p>
      <w:pPr>
        <w:jc w:val="both"/>
        <w:ind w:left="340" w:firstLine="324"/>
        <w:spacing w:after="0" w:line="261" w:lineRule="auto"/>
        <w:rPr>
          <w:sz w:val="20"/>
          <w:szCs w:val="20"/>
          <w:color w:val="auto"/>
        </w:rPr>
      </w:pPr>
      <w:r>
        <w:rPr>
          <w:rFonts w:ascii="Arial" w:cs="Arial" w:eastAsia="Arial" w:hAnsi="Arial"/>
          <w:sz w:val="18"/>
          <w:szCs w:val="18"/>
          <w:color w:val="auto"/>
        </w:rPr>
        <w:t>Level 1 — Observable inputs such as unadjusted, quoted prices in active markets for identical assets or liabilities at the measurement date.</w:t>
      </w:r>
    </w:p>
    <w:p>
      <w:pPr>
        <w:spacing w:after="0" w:line="90" w:lineRule="exact"/>
        <w:rPr>
          <w:sz w:val="20"/>
          <w:szCs w:val="20"/>
          <w:color w:val="auto"/>
        </w:rPr>
      </w:pPr>
    </w:p>
    <w:p>
      <w:pPr>
        <w:jc w:val="both"/>
        <w:ind w:left="340" w:firstLine="324"/>
        <w:spacing w:after="0" w:line="256" w:lineRule="auto"/>
        <w:rPr>
          <w:sz w:val="20"/>
          <w:szCs w:val="20"/>
          <w:color w:val="auto"/>
        </w:rPr>
      </w:pPr>
      <w:r>
        <w:rPr>
          <w:rFonts w:ascii="Arial" w:cs="Arial" w:eastAsia="Arial" w:hAnsi="Arial"/>
          <w:sz w:val="18"/>
          <w:szCs w:val="18"/>
          <w:color w:val="auto"/>
        </w:rPr>
        <w:t>Level 2 — Inputs (other than quoted prices in active markets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ectPr>
          <w:pgSz w:w="11900" w:h="16838" w:orient="portrait"/>
          <w:cols w:equalWidth="0" w:num="1">
            <w:col w:w="11240"/>
          </w:cols>
          <w:pgMar w:left="320" w:top="140" w:right="3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40" w:right="20" w:firstLine="324"/>
        <w:spacing w:after="0" w:line="26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and subsequent amendments to the initial guidance: ASU 2018-19, ASU 2019-04, ASU 2019-05, ASU 2019-10, ASU</w:t>
      </w:r>
      <w:r>
        <w:rPr>
          <w:rFonts w:ascii="Arial" w:cs="Arial" w:eastAsia="Arial" w:hAnsi="Arial"/>
          <w:sz w:val="18"/>
          <w:szCs w:val="18"/>
          <w:i w:val="1"/>
          <w:iCs w:val="1"/>
          <w:color w:val="auto"/>
        </w:rPr>
        <w:t xml:space="preserve"> </w:t>
      </w:r>
      <w:r>
        <w:rPr>
          <w:rFonts w:ascii="Arial" w:cs="Arial" w:eastAsia="Arial" w:hAnsi="Arial"/>
          <w:sz w:val="18"/>
          <w:szCs w:val="18"/>
          <w:color w:val="auto"/>
        </w:rPr>
        <w:t>2019-11, ASU 2020-02, ASU 2020-03 and ASU 2022 -02 which replaces the existing incurred loss impairment model with an expected credit loss model and requires a financial asset measured at amortized cost to be presented at the net amount expected to be collected. This standard is effective for fiscal years beginning after December 15, 2022, including interim periods within those fiscal years. The Company does not expect that the adoption of this standard will have a material impact on its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tables provide information about the Company’s financial instruments that are measured at fair value on a recurring basis and indicate the fair value hierarchy of the valuation techniques utilized to determine such values: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Fair Value as of June 30, 2022</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3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r>
      <w:tr>
        <w:trPr>
          <w:trHeight w:val="230"/>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r>
      <w:tr>
        <w:trPr>
          <w:trHeight w:val="223"/>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20,747</w:t>
            </w:r>
          </w:p>
        </w:tc>
      </w:tr>
      <w:tr>
        <w:trPr>
          <w:trHeight w:val="210"/>
        </w:trPr>
        <w:tc>
          <w:tcPr>
            <w:tcW w:w="43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w:t>
            </w: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30,131</w:t>
            </w: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r>
      <w:tr>
        <w:trPr>
          <w:trHeight w:val="230"/>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government agency bonds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28,071</w:t>
            </w:r>
          </w:p>
        </w:tc>
      </w:tr>
      <w:tr>
        <w:trPr>
          <w:trHeight w:val="223"/>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96,326</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11,989</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117,073</w:t>
            </w:r>
          </w:p>
        </w:tc>
      </w:tr>
      <w:tr>
        <w:trPr>
          <w:trHeight w:val="20"/>
        </w:trPr>
        <w:tc>
          <w:tcPr>
            <w:tcW w:w="4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55"/>
        </w:trPr>
        <w:tc>
          <w:tcPr>
            <w:tcW w:w="4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Fair Value as of December 31, 2021</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6"/>
        </w:trPr>
        <w:tc>
          <w:tcPr>
            <w:tcW w:w="4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3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41,376</w:t>
            </w:r>
          </w:p>
        </w:tc>
      </w:tr>
      <w:tr>
        <w:trPr>
          <w:trHeight w:val="230"/>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w:t>
            </w:r>
          </w:p>
        </w:tc>
      </w:tr>
      <w:tr>
        <w:trPr>
          <w:trHeight w:val="223"/>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53,474</w:t>
            </w:r>
          </w:p>
        </w:tc>
      </w:tr>
      <w:tr>
        <w:trPr>
          <w:trHeight w:val="210"/>
        </w:trPr>
        <w:tc>
          <w:tcPr>
            <w:tcW w:w="43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55,921</w:t>
            </w: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37,190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37,190</w:t>
            </w: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r>
      <w:tr>
        <w:trPr>
          <w:trHeight w:val="223"/>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121,277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121,277</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174,751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784"/>
        </w:trPr>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4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tables summarize the cost or amortized cost, gross unrealized gains, gross unrealized losses and fair value of the marketable securities as of June 30, 2022 and December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rPr>
              <w:t>June 30, 2022</w:t>
            </w: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Cost or Amortized Cost</w:t>
            </w: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2"/>
        </w:trPr>
        <w:tc>
          <w:tcPr>
            <w:tcW w:w="43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Gains</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3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gridSpan w:val="3"/>
          </w:tcPr>
          <w:p>
            <w:pPr>
              <w:jc w:val="center"/>
              <w:ind w:left="37"/>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30,625</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30,131</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government agency bonds</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28,604</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28,071</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97,947</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3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112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Cost or Amortized Cost</w:t>
            </w: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2"/>
        </w:trPr>
        <w:tc>
          <w:tcPr>
            <w:tcW w:w="43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Gains</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3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gridSpan w:val="3"/>
          </w:tcPr>
          <w:p>
            <w:pPr>
              <w:jc w:val="center"/>
              <w:ind w:left="37"/>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55,921</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37,286</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37,190</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bonds</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28,258</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121,642</w:t>
            </w:r>
          </w:p>
        </w:tc>
        <w:tc>
          <w:tcPr>
            <w:tcW w:w="8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121,277</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June 30, 2022 and December 31, 2021, the amortized cost of the Company’s cash equivalents approximated their estimated fair value. As such, there are no unrealized gains or losses related to the Company’s cash equivalents.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all of the marketable securities, the Company utilizes third-party pricing services to obtain fair value. Third-party pricing methodologies incorporate bond terms and conditions, current performance data, proprietary pricing models, real-time quotes from contributing dealers, trade prices and other market data.</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money market funds, U.S. treasury securities, corporate debt securities and U.S. government agency bonds were valued using Level 1 inputs because they are valued using quoted market prices.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commercial papers were valued using Level 2 inputs because they are valued using quoted prices for similar assets or liabilities in active markets and quoted prices for identical or similar assets or liabilities in markets that are not active.</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no transfers between levels during the six months ended June 30, 2022. As of June 30, 2022, of the $96.3 million carrying amount of marketable securities, $78.7 million had a contractual maturity date of less than one year and $17.6 million had a contractual maturity date between one to two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consists of the following:</w:t>
      </w:r>
    </w:p>
    <w:p>
      <w:pPr>
        <w:spacing w:after="0" w:line="388"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5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r>
      <w:tr>
        <w:trPr>
          <w:trHeight w:val="196"/>
        </w:trPr>
        <w:tc>
          <w:tcPr>
            <w:tcW w:w="5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4"/>
          </w:tcPr>
          <w:p>
            <w:pPr>
              <w:ind w:left="960"/>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ind w:left="677"/>
              <w:spacing w:after="0"/>
              <w:rPr>
                <w:sz w:val="20"/>
                <w:szCs w:val="20"/>
                <w:color w:val="auto"/>
              </w:rPr>
            </w:pPr>
            <w:r>
              <w:rPr>
                <w:rFonts w:ascii="Arial" w:cs="Arial" w:eastAsia="Arial" w:hAnsi="Arial"/>
                <w:sz w:val="18"/>
                <w:szCs w:val="18"/>
                <w:color w:val="auto"/>
                <w:w w:val="98"/>
              </w:rPr>
              <w:t>76,028</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657"/>
              <w:spacing w:after="0"/>
              <w:rPr>
                <w:sz w:val="20"/>
                <w:szCs w:val="20"/>
                <w:color w:val="auto"/>
              </w:rPr>
            </w:pPr>
            <w:r>
              <w:rPr>
                <w:rFonts w:ascii="Arial" w:cs="Arial" w:eastAsia="Arial" w:hAnsi="Arial"/>
                <w:sz w:val="18"/>
                <w:szCs w:val="18"/>
                <w:color w:val="auto"/>
              </w:rPr>
              <w:t>(20,562)</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center"/>
              <w:ind w:left="677"/>
              <w:spacing w:after="0"/>
              <w:rPr>
                <w:sz w:val="20"/>
                <w:szCs w:val="20"/>
                <w:color w:val="auto"/>
              </w:rPr>
            </w:pPr>
            <w:r>
              <w:rPr>
                <w:rFonts w:ascii="Arial" w:cs="Arial" w:eastAsia="Arial" w:hAnsi="Arial"/>
                <w:sz w:val="18"/>
                <w:szCs w:val="18"/>
                <w:color w:val="auto"/>
                <w:w w:val="98"/>
              </w:rPr>
              <w:t>55,466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Depreciation and amortization expense of property and equipment was $2.8 million and $1.9 million for the three months ended June 30, 2022 and June 30, 2021, respectively, and $5.4 million and $3.9 million for the six months ended June 30, 2022 and June 30, 2021, respectively.</w:t>
      </w:r>
    </w:p>
    <w:p>
      <w:pPr>
        <w:sectPr>
          <w:pgSz w:w="11900" w:h="16838" w:orient="portrait"/>
          <w:cols w:equalWidth="0" w:num="1">
            <w:col w:w="11240"/>
          </w:cols>
          <w:pgMar w:left="320" w:top="140" w:right="3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Goodwill is primarily attributable to the planned growth in the combined business after the acquisition of Remix Global EAD (“Remix”). Goodwill is not amortized to earnings, but instead is reviewed for impairment at least annually, absent any interim indicators of impairment. The carrying amount of goodwill was $11.3 million as of June 30, 2022 and $12.2 million as of December 31, 2021. The change is due to foreign currency translation adjustments.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of the intangible assets with determinable lives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As of June 30, 2022</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Gross carrying 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Carrying amount, net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13,369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11,522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December 31, 2021</w:t>
            </w: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Gross carrying 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Carrying amount, net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14,492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gross carrying amounts are due to foreign currency translation.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Developed technology, customer relationships, and trademarks intangibles amortization is recorded within operations, product and technology, sales general and administrative, and marketing expense lines, respectively, within the consolidated statements of operations. The amortization expense of intangible assets with determinable lives was $ 0.6 million and zero for the three months ended June 30, 2022 and June 30, 2021, respectively, and $1.3 million and zero for the six months ended June 30, 2022 and June 30, 2021, respectively.</w:t>
      </w:r>
    </w:p>
    <w:p>
      <w:pPr>
        <w:spacing w:after="0" w:line="290" w:lineRule="exact"/>
        <w:rPr>
          <w:sz w:val="20"/>
          <w:szCs w:val="20"/>
          <w:color w:val="auto"/>
        </w:rPr>
      </w:pPr>
    </w:p>
    <w:p>
      <w:pPr>
        <w:ind w:left="340" w:right="8120" w:hanging="332"/>
        <w:spacing w:after="0" w:line="451" w:lineRule="auto"/>
        <w:tabs>
          <w:tab w:leader="none" w:pos="21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color w:val="auto"/>
        </w:rPr>
        <w:t>Inventories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25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80" w:type="dxa"/>
            <w:vAlign w:val="bottom"/>
            <w:gridSpan w:val="5"/>
          </w:tcPr>
          <w:p>
            <w:pPr>
              <w:ind w:left="96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2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progress</w:t>
            </w:r>
          </w:p>
        </w:tc>
        <w:tc>
          <w:tcPr>
            <w:tcW w:w="26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Total</w:t>
            </w:r>
          </w:p>
        </w:tc>
        <w:tc>
          <w:tcPr>
            <w:tcW w:w="2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13,941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9,825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0" w:type="dxa"/>
            <w:vAlign w:val="bottom"/>
            <w:vMerge w:val="restart"/>
          </w:tcPr>
          <w:p>
            <w:pPr>
              <w:jc w:val="right"/>
              <w:ind w:right="810"/>
              <w:spacing w:after="0"/>
              <w:rPr>
                <w:sz w:val="20"/>
                <w:szCs w:val="20"/>
                <w:color w:val="auto"/>
              </w:rPr>
            </w:pPr>
            <w:r>
              <w:rPr>
                <w:rFonts w:ascii="Arial" w:cs="Arial" w:eastAsia="Arial" w:hAnsi="Arial"/>
                <w:sz w:val="18"/>
                <w:szCs w:val="18"/>
                <w:color w:val="auto"/>
              </w:rPr>
              <w:t>14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 of the following:</w:t>
      </w:r>
    </w:p>
    <w:p>
      <w:pPr>
        <w:spacing w:after="0" w:line="307"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5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196"/>
        </w:trPr>
        <w:tc>
          <w:tcPr>
            <w:tcW w:w="5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4"/>
          </w:tcPr>
          <w:p>
            <w:pPr>
              <w:jc w:val="right"/>
              <w:ind w:right="1214"/>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6,031</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returns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6,438</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5,728</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45,253</w:t>
            </w: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 Agreements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operating lease expense was $2.5 million and $1.8 million for the three months ended June 30, 2022 and June 30, 2021, respectively, and $4.9 million and $3.9 million for the six months ended June 30, 2022 and June 30, 2021, respectively.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operating lease liabilities were as follows as of June 30, 2022:</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196"/>
        </w:trPr>
        <w:tc>
          <w:tcPr>
            <w:tcW w:w="6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r>
      <w:tr>
        <w:trPr>
          <w:trHeight w:val="196"/>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313"/>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9,611</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7,864</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35,927</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75,237</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(17,275)</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tenant improvement allowance yet to be received</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56,511</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Total non-current lease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51,497</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2021, the Company entered into a ten-year agreement to lease a distribution center in Sofia, Bulgaria. The leased property, which contains both logistics and office areas, is divided into three stages of delivery. The base rent and maintenance for the first stage, commenced in March 2022, was approximately €6.1 million, or $6.4 million translated at the June 30, 2022 spot rate, over the life of the lease. The base rent and maintenance for the second stage, commenced in May 2022, was approximately € 6.0 million, or $6.3 million translated at the June 30, 2022 spot rate, over the life of the lease. The targeted commencement date for the third stage is June 2023.</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January 2022, the Company entered into a ten-year agreement to lease office space in Sofia, Bulgaria and the leased property was delivered in the second quarter of 2022. The base rent, parking and maintenance was approximately €5.0 million, or $5.2 million, translated at the June 30, 2022 spot rate.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for an aggregate amount of up to $40.0 million to refinance its prior loan and security agreement with Silicon Valley Bank. As of December 31, 2021, the amended interest rate on the Term Loan was the prime rate published in The Wall Street Journal plus a margin of 1.5%, with a floor of 5.50%. The Term Loan was amended five times before December 31, 2021.</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June 30, 2022, the nominal interest rate was 6.25% and the effective interest rate was 6.65%. As of June 30, 2022 and December 31, 2021, the Company was in compliance with its debt covenants under the Term Loan.</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six months ended June 30, 2022, the Company repaid a total of $4.0 million on amounts outstanding under the Term Loan. During the six months ended June 30, 2021, the Company did not make any repayments on amounts outstanding under the Term Loan. As of June 30, 2022 and December 31, 2021, the amount outstanding under the Term Loan was $32.0 million and $36.0 million, respectively.</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three months ended June 30, 2022 and June 30, 2021, the Company recognized $0.2 million and $ 0.6 million, respectively, of interest expense relating to the Term Loan. During the six months ended June 30, 2022 and June 30, 2021, the Company recognized $0.7 million and $1.1 million, respectively, of interest expense relating to the Term Loan.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future annual scheduled principal payments of the Term Loan were as follows:</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196"/>
        </w:trPr>
        <w:tc>
          <w:tcPr>
            <w:tcW w:w="6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Amount</w:t>
            </w:r>
          </w:p>
        </w:tc>
      </w:tr>
      <w:tr>
        <w:trPr>
          <w:trHeight w:val="196"/>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314"/>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principal</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Less: unamortized debt discount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23,705</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On July 14, 2022, the Term Loan was amended. Refer to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Class A common stock and Class B common stock issued and outstanding as of June 30, 2022.</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June 30, 2022</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2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1260" w:type="dxa"/>
            <w:vAlign w:val="bottom"/>
          </w:tcPr>
          <w:p>
            <w:pPr>
              <w:jc w:val="right"/>
              <w:ind w:right="377"/>
              <w:spacing w:after="0" w:line="149"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18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9"/>
              </w:rPr>
              <w:t>Outstanding</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180" w:type="dxa"/>
            <w:vAlign w:val="bottom"/>
            <w:gridSpan w:val="3"/>
          </w:tcPr>
          <w:p>
            <w:pPr>
              <w:jc w:val="center"/>
              <w:ind w:left="1179"/>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65,465</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34,488</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common stock</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w:t>
      </w:r>
    </w:p>
    <w:p>
      <w:pPr>
        <w:spacing w:after="0" w:line="121"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The Company's stock-based compensation plans are described in more detail in Note 11, </w:t>
      </w:r>
      <w:r>
        <w:rPr>
          <w:rFonts w:ascii="Arial" w:cs="Arial" w:eastAsia="Arial" w:hAnsi="Arial"/>
          <w:sz w:val="18"/>
          <w:szCs w:val="18"/>
          <w:i w:val="1"/>
          <w:iCs w:val="1"/>
          <w:color w:val="auto"/>
        </w:rPr>
        <w:t>Stock-Based Compensation Plans</w:t>
      </w:r>
      <w:r>
        <w:rPr>
          <w:rFonts w:ascii="Arial" w:cs="Arial" w:eastAsia="Arial" w:hAnsi="Arial"/>
          <w:sz w:val="18"/>
          <w:szCs w:val="18"/>
          <w:color w:val="auto"/>
        </w:rPr>
        <w:t>, to the consolidated financial statements in the 2021 Form 10-K.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2021 Stock Option and Incentive Plan</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February 2021, in connection with the Initial Public Offering (“IPO”), the Company’s board of directors adopted the 2021 Stock Option and Incentive Plan (“2021 Plan”) to replace the Second Amended and Restated 2010 Stock Plan, which was subsequently approved by the Company’s stockholders in March 2021. The 2021 Plan became effective on March 24, 2021.</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2021 Employee Stock Purchase Plan</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2021, the Company’s board of directors adopted the Employee Stock Purchase Plan (“ESPP”), which was subsequently approved by the stockholders in March 2021. The ESPP became effective on March 24, 2021. The Company recognized $0.2 million and $0.2 million in stock-based compensation expense related to the ESPP for the three months ended June 30, 2022 and June 30, 2021, respectively, and $0.4 million and $0.2 million for the six months ended June 30, 2022 and June 30, 2021, respectively.</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Units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issues service-based and performance-based restricted stock units (“RSU”) to employees. The RSUs automatically convert to shares of the Company’s common stock on a one-for-one basis as the awards vest. RSUs granted to newly hired employees typically vest 25% annually over four years commencing on the date of grant. The RSUs are measured at grant date fair value, at the market price of the Company’s Class A common stock on the grant date. The Company records stock-based compensation expense related to the RSUs ratably over the employee’s respective requisite service period. During the six months ended June 30, 2022, the Company granted 9,444,468 shares of RSUs with a weighted average grant date fair value at $7.43 under the 2021 Plan.</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expense by department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Six Months Ended</w:t>
            </w:r>
          </w:p>
        </w:tc>
      </w:tr>
      <w:tr>
        <w:trPr>
          <w:trHeight w:val="208"/>
        </w:trPr>
        <w:tc>
          <w:tcPr>
            <w:tcW w:w="5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196"/>
        </w:trPr>
        <w:tc>
          <w:tcPr>
            <w:tcW w:w="5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96"/>
        </w:trPr>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w:t>
            </w: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180" w:right="8080" w:hanging="172"/>
        <w:spacing w:after="0" w:line="388" w:lineRule="auto"/>
        <w:tabs>
          <w:tab w:leader="none" w:pos="31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Contingencies</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13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but that have not yet been made.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quarterly income tax provision reflects an estimate of the corresponding quarter’s state taxes in the United States. The provision for income tax expense for the three and six months ended June 30, 2022 and 2021 was determined based upon estimates of the Company’s annual effective tax rate for the years ending December 31, 2022 and 2021, respectively. Since the Company is in a full valuation allowance position due to losses incurred since inception, the provision for taxes consists solely of certain state income taxes.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participating securities have been excluded from the computation of diluted net loss per share for the periods presented, because including them would have been anti-dilutive:</w:t>
      </w:r>
    </w:p>
    <w:p>
      <w:pPr>
        <w:spacing w:after="0" w:line="253"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As of June 30,</w:t>
      </w:r>
    </w:p>
    <w:p>
      <w:pPr>
        <w:spacing w:after="0" w:line="29" w:lineRule="exact"/>
        <w:rPr>
          <w:sz w:val="20"/>
          <w:szCs w:val="20"/>
          <w:color w:val="auto"/>
        </w:rPr>
      </w:pPr>
    </w:p>
    <w:tbl>
      <w:tblPr>
        <w:tblLayout w:type="fixed"/>
        <w:tblInd w:w="1120" w:type="dxa"/>
        <w:tblCellMar>
          <w:top w:w="0" w:type="dxa"/>
          <w:left w:w="0" w:type="dxa"/>
          <w:bottom w:w="0" w:type="dxa"/>
          <w:right w:w="0" w:type="dxa"/>
        </w:tblCellMar>
      </w:tblPr>
      <w:tr>
        <w:trPr>
          <w:trHeight w:val="202"/>
        </w:trPr>
        <w:tc>
          <w:tcPr>
            <w:tcW w:w="55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196"/>
        </w:trPr>
        <w:tc>
          <w:tcPr>
            <w:tcW w:w="5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gridSpan w:val="3"/>
          </w:tcPr>
          <w:p>
            <w:pPr>
              <w:ind w:left="24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7"/>
                <w:szCs w:val="17"/>
                <w:color w:val="auto"/>
              </w:rPr>
            </w:pPr>
          </w:p>
        </w:tc>
      </w:tr>
      <w:tr>
        <w:trPr>
          <w:trHeight w:val="23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w:t>
            </w:r>
          </w:p>
        </w:tc>
      </w:tr>
      <w:tr>
        <w:trPr>
          <w:trHeight w:val="229"/>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660" w:type="dxa"/>
            <w:vAlign w:val="bottom"/>
          </w:tcPr>
          <w:p>
            <w:pPr>
              <w:jc w:val="right"/>
              <w:spacing w:after="0"/>
              <w:rPr>
                <w:sz w:val="20"/>
                <w:szCs w:val="20"/>
                <w:color w:val="auto"/>
              </w:rPr>
            </w:pPr>
            <w:r>
              <w:rPr>
                <w:rFonts w:ascii="Arial" w:cs="Arial" w:eastAsia="Arial" w:hAnsi="Arial"/>
                <w:sz w:val="18"/>
                <w:szCs w:val="18"/>
                <w:color w:val="auto"/>
              </w:rPr>
              <w:t>9,285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Delayed share issuance related to acquisition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July 14, 2022, (the “Closing Date”), the Company entered into a Second Amended and Restated Loan and Security Agreement (the “Second Amended Term Loan”), which amends and restates the Term Loan to, among other things, increase the aggregate borrowing ability to $70.0 million, reduce the applicable margin for borrowings under the Term Loan to the prime rate published in The Wall Street Journal plus a margin of 1.25%, with a floor of 6.00%, and extend the maturity date of the outstanding Term Loan to July 14, 2027. The Second Amended Term Loan contains several financial covenants, including cash availability and cash holding requirements, minimum revenue amounts and, beginning in the first quarter of fiscal year 2025, a minimum Fixed Charge Coverage Ratio.</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Second Amended Term Loan provides for an aggregate principal amount of $70.0 million of term loans, to be made available as either the “Term A Loan” or “Term B Loan.” The Term A Loan is for an aggregate principal amount of $32.0 million and was fully advanced on the Closing Date to refinance the outstanding obligations under the Term Loan. The Term B Loan is for an aggregate principal amount of $38.0 million. The Term B Loan is available to be drawn by the Company through the four-year anniversary of the Closing Date to finance the purchase price of eligible equipment purchased by the Company.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financial statements and related notes thereto included elsewhere in this Quarterly Report on Form 10-Q and our audited financial statements and related notes and our Annual Report on Form 10-K filed with the SEC on March 22, 2022.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April 2021.</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primarily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2018, based on our success with consumers directly, we extended our platform to enable brands and retailers to participate in the resale economy. Some of the world’s leading brands and retailers are already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2021, we completed our acquisition of Remix Global EAD (“Remix”), a fashion resale company based in Sofia, Bulgaria. With this acquisition, we further expanded our reach to European customers, added a complementary operational infrastructure and added an experienced management team to enable our expansion into Europe. In addition, Remix’s product assortment extended our resale offering to include men’s items and items sourced from a variety of supply channels, such as wholesale supply.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COVID-19 Update</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ongoing development of the COVID-19 pandemic has continued to impact our business, primarily driven by the emergence of new variants and related subvariants. Our performance was adversely affected by market instability, supply chain disruptions, labor challenges caused by the pandemic and the U.S. government response to the COVID-19 pandemic, including the absence of any economic stimulus in 2022. We are actively engaging with our customers and are continuing to take measures to protect the health and safety of our employees. As of June 30, 2022, our remote work model remains largely in place.</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long-term impact of COVID-19 on our operations and financial performance remains uncertain and will depend on various unpredictable factors, including the duration of the pandemic, potential subsequent waves of COVID-19 infection or potential new variants, the effectiveness of COVID-19 vaccines and treatments and government actions to prevent and manage disease spread. The long-term impact of the pandemic on demand and supply for our products and services is also difficult to predict, but could negatively affect our future results and performance.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Impact</w:t>
      </w:r>
    </w:p>
    <w:p>
      <w:pPr>
        <w:spacing w:after="0" w:line="117" w:lineRule="exact"/>
        <w:rPr>
          <w:sz w:val="20"/>
          <w:szCs w:val="20"/>
          <w:color w:val="auto"/>
        </w:rPr>
      </w:pPr>
    </w:p>
    <w:p>
      <w:pPr>
        <w:jc w:val="both"/>
        <w:ind w:left="180" w:firstLine="324"/>
        <w:spacing w:after="0" w:line="256" w:lineRule="auto"/>
        <w:rPr>
          <w:sz w:val="20"/>
          <w:szCs w:val="20"/>
          <w:color w:val="auto"/>
        </w:rPr>
      </w:pPr>
      <w:r>
        <w:rPr>
          <w:rFonts w:ascii="Arial" w:cs="Arial" w:eastAsia="Arial" w:hAnsi="Arial"/>
          <w:sz w:val="18"/>
          <w:szCs w:val="18"/>
          <w:color w:val="auto"/>
        </w:rPr>
        <w:t>In the six months ended June 30, 2022, we experienced an increase in consumer demand partially due to the reduced severity of the COVID-19 pandemic and shift in consumer and lifestyle patterns. Gross margin and operating expenses were impacted due to rising labor, processing and other costs to support the consumer demand experienced to date.</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Impact on Processing at our Distribution and Processing Centers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COVID-19 pandemic and the ongoing recovery also contributed to a tightened labor supply. We continue to face challenges in hiring and retaining employees in our distribution and processing centers. We have implemented compensation and benefits programs to attract potential employees and to improve employee retention. These programs caused, along with an inflationary labor market, higher Cost of Revenue and higher Operations, Product and Technology expenses and negatively impacted our results of operations.</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expect that the COVID-19 pandemic will continue to have an adverse impact on our business, results of operations and financial condition, including our revenue and cash flows in the short term. Due to the unpredictable nature of the pandemic, it is difficult to predict the long-term impact on our business. See the section titled “Risk Factors” in our Annual Report on Form 10-K filed with the SEC on March 22, 2022 for further discussion of the possible impact of the COVID-19 pandemic on our business, operations and financial condition.</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w:t>
      </w:r>
    </w:p>
    <w:p>
      <w:pPr>
        <w:spacing w:after="0" w:line="13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The Russia-Ukraine conflict and other geopolitical conflicts, as well as the related international response, have exacerbated inflationary pressures during the pandemic. We continue to actively monitor, evaluate and respond to developments relating to operational challenges in an inflationary environment. Global supply chain disruptions and the higher inflationary environment remain unpredictable and our past results may not be indicative of future performance.</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recent months, the U.S. dollar has been appreciating against major European currencies, including the Bulgarian Lev, for both economic and geopolitical reasons. A strengthening U.S. dollar will have a negative impact on our consolidated sales. We are managing the currency risk related to earnings through natural hedges and have offsetting costs relating to operating our business and a regional source of supply. Therefore, changes to exchange rates have not had a significant impact to our earnings. We continue to monitor our foreign exchange exposure as we grow our business globally. For further details, please refer to "Foreign Currency Exchange Rate Risk" in Part I, Item 3. Quantitative and Qualitative Disclosures About Market Risk.</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June 2022, we restructured certain back-office functions to improve efficiencies and to reduce overhead costs. In addition, we closed our processing center in Tennessee and consolidated its operations into our distribution center in Texas, which is under construction. These and future restructuring activities are expected to provide future growth and efficiency benefits; however, the actual results may differ.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Second Quarter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a record at $76.4 million, an increase of 27% year-over-year.</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$52.6 million representing growth of 19% year-over-year. Gross margin decreased by 471</w:t>
      </w:r>
      <w:r>
        <w:rPr>
          <w:rFonts w:ascii="Arial" w:cs="Arial" w:eastAsia="Arial" w:hAnsi="Arial"/>
          <w:sz w:val="18"/>
          <w:szCs w:val="18"/>
          <w:b w:val="1"/>
          <w:bCs w:val="1"/>
          <w:color w:val="auto"/>
        </w:rPr>
        <w:t xml:space="preserve"> </w:t>
      </w:r>
      <w:r>
        <w:rPr>
          <w:rFonts w:ascii="Arial" w:cs="Arial" w:eastAsia="Arial" w:hAnsi="Arial"/>
          <w:sz w:val="18"/>
          <w:szCs w:val="18"/>
          <w:color w:val="auto"/>
        </w:rPr>
        <w:t>basis points to 69% from 74% in the comparable quarter last year.</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GAAP net loss was $28.4 million, or a negative 37% of revenue, for the second quarter of 2022, compared to a GAAP net loss</w:t>
      </w:r>
      <w:r>
        <w:rPr>
          <w:rFonts w:ascii="Arial" w:cs="Arial" w:eastAsia="Arial" w:hAnsi="Arial"/>
          <w:sz w:val="18"/>
          <w:szCs w:val="18"/>
          <w:b w:val="1"/>
          <w:bCs w:val="1"/>
          <w:color w:val="auto"/>
        </w:rPr>
        <w:t xml:space="preserve"> </w:t>
      </w:r>
      <w:r>
        <w:rPr>
          <w:rFonts w:ascii="Arial" w:cs="Arial" w:eastAsia="Arial" w:hAnsi="Arial"/>
          <w:sz w:val="18"/>
          <w:szCs w:val="18"/>
          <w:color w:val="auto"/>
        </w:rPr>
        <w:t>of $14.4 million for the second quarter 2021.</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loss was $13.5 million, or negative 18% of revenue for the second quarter of 2022,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an Adjusted EBITDA loss of $9.0 million for the second quarter of 2021, or negative 15% of the revenue for the second quarter of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Active Buyers totaled 1.72 million and Orders totaled 1.70 million in the second quarter of 2022,</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growth of 29% and 40%, respectively, compared to the second quarter of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9"/>
        </w:trPr>
        <w:tc>
          <w:tcPr>
            <w:tcW w:w="2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196"/>
        </w:trPr>
        <w:tc>
          <w:tcPr>
            <w:tcW w:w="2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60" w:type="dxa"/>
            <w:vAlign w:val="bottom"/>
            <w:gridSpan w:val="7"/>
          </w:tcPr>
          <w:p>
            <w:pPr>
              <w:jc w:val="right"/>
              <w:ind w:right="16"/>
              <w:spacing w:after="0"/>
              <w:rPr>
                <w:sz w:val="20"/>
                <w:szCs w:val="20"/>
                <w:color w:val="auto"/>
              </w:rPr>
            </w:pPr>
            <w:r>
              <w:rPr>
                <w:rFonts w:ascii="Arial" w:cs="Arial" w:eastAsia="Arial" w:hAnsi="Arial"/>
                <w:sz w:val="14"/>
                <w:szCs w:val="14"/>
                <w:i w:val="1"/>
                <w:iCs w:val="1"/>
                <w:color w:val="auto"/>
              </w:rPr>
              <w:t>(in thousands, except percentages and basis points)</w:t>
            </w: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4"/>
        </w:trPr>
        <w:tc>
          <w:tcPr>
            <w:tcW w:w="26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Active Buyers (as of period</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1,724</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1,341</w:t>
            </w:r>
          </w:p>
        </w:tc>
        <w:tc>
          <w:tcPr>
            <w:tcW w:w="9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9"/>
              </w:rPr>
              <w:t>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1,724</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1,341</w:t>
            </w:r>
          </w:p>
        </w:tc>
        <w:tc>
          <w:tcPr>
            <w:tcW w:w="96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99"/>
              </w:rPr>
              <w:t>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Orders</w:t>
            </w:r>
          </w:p>
        </w:tc>
        <w:tc>
          <w:tcPr>
            <w:tcW w:w="300" w:type="dxa"/>
            <w:vAlign w:val="bottom"/>
          </w:tcPr>
          <w:p>
            <w:pPr>
              <w:spacing w:after="0"/>
              <w:rPr>
                <w:sz w:val="19"/>
                <w:szCs w:val="19"/>
                <w:color w:val="auto"/>
              </w:rPr>
            </w:pP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1,704</w:t>
            </w:r>
          </w:p>
        </w:tc>
        <w:tc>
          <w:tcPr>
            <w:tcW w:w="320" w:type="dxa"/>
            <w:vAlign w:val="bottom"/>
          </w:tcPr>
          <w:p>
            <w:pPr>
              <w:spacing w:after="0"/>
              <w:rPr>
                <w:sz w:val="19"/>
                <w:szCs w:val="19"/>
                <w:color w:val="auto"/>
              </w:rPr>
            </w:pPr>
          </w:p>
        </w:tc>
        <w:tc>
          <w:tcPr>
            <w:tcW w:w="1360" w:type="dxa"/>
            <w:vAlign w:val="bottom"/>
          </w:tcPr>
          <w:p>
            <w:pPr>
              <w:jc w:val="right"/>
              <w:ind w:right="476"/>
              <w:spacing w:after="0"/>
              <w:rPr>
                <w:sz w:val="20"/>
                <w:szCs w:val="20"/>
                <w:color w:val="auto"/>
              </w:rPr>
            </w:pPr>
            <w:r>
              <w:rPr>
                <w:rFonts w:ascii="Arial" w:cs="Arial" w:eastAsia="Arial" w:hAnsi="Arial"/>
                <w:sz w:val="18"/>
                <w:szCs w:val="18"/>
                <w:color w:val="auto"/>
              </w:rPr>
              <w:t>1,218</w:t>
            </w:r>
          </w:p>
        </w:tc>
        <w:tc>
          <w:tcPr>
            <w:tcW w:w="920" w:type="dxa"/>
            <w:vAlign w:val="bottom"/>
          </w:tcPr>
          <w:p>
            <w:pPr>
              <w:jc w:val="center"/>
              <w:ind w:left="353"/>
              <w:spacing w:after="0"/>
              <w:rPr>
                <w:sz w:val="20"/>
                <w:szCs w:val="20"/>
                <w:color w:val="auto"/>
              </w:rPr>
            </w:pPr>
            <w:r>
              <w:rPr>
                <w:rFonts w:ascii="Arial" w:cs="Arial" w:eastAsia="Arial" w:hAnsi="Arial"/>
                <w:sz w:val="18"/>
                <w:szCs w:val="18"/>
                <w:color w:val="auto"/>
                <w:w w:val="99"/>
              </w:rPr>
              <w:t>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3,344</w:t>
            </w:r>
          </w:p>
        </w:tc>
        <w:tc>
          <w:tcPr>
            <w:tcW w:w="360" w:type="dxa"/>
            <w:vAlign w:val="bottom"/>
          </w:tcPr>
          <w:p>
            <w:pPr>
              <w:spacing w:after="0"/>
              <w:rPr>
                <w:sz w:val="19"/>
                <w:szCs w:val="19"/>
                <w:color w:val="auto"/>
              </w:rPr>
            </w:pPr>
          </w:p>
        </w:tc>
        <w:tc>
          <w:tcPr>
            <w:tcW w:w="1260" w:type="dxa"/>
            <w:vAlign w:val="bottom"/>
          </w:tcPr>
          <w:p>
            <w:pPr>
              <w:jc w:val="right"/>
              <w:ind w:right="415"/>
              <w:spacing w:after="0"/>
              <w:rPr>
                <w:sz w:val="20"/>
                <w:szCs w:val="20"/>
                <w:color w:val="auto"/>
              </w:rPr>
            </w:pPr>
            <w:r>
              <w:rPr>
                <w:rFonts w:ascii="Arial" w:cs="Arial" w:eastAsia="Arial" w:hAnsi="Arial"/>
                <w:sz w:val="18"/>
                <w:szCs w:val="18"/>
                <w:color w:val="auto"/>
              </w:rPr>
              <w:t>2,346</w:t>
            </w:r>
          </w:p>
        </w:tc>
        <w:tc>
          <w:tcPr>
            <w:tcW w:w="960" w:type="dxa"/>
            <w:vAlign w:val="bottom"/>
          </w:tcPr>
          <w:p>
            <w:pPr>
              <w:jc w:val="center"/>
              <w:ind w:left="393"/>
              <w:spacing w:after="0"/>
              <w:rPr>
                <w:sz w:val="20"/>
                <w:szCs w:val="20"/>
                <w:color w:val="auto"/>
              </w:rPr>
            </w:pPr>
            <w:r>
              <w:rPr>
                <w:rFonts w:ascii="Arial" w:cs="Arial" w:eastAsia="Arial" w:hAnsi="Arial"/>
                <w:sz w:val="18"/>
                <w:szCs w:val="18"/>
                <w:color w:val="auto"/>
                <w:w w:val="99"/>
              </w:rPr>
              <w:t>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(28,399)</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(14,379)</w:t>
            </w:r>
          </w:p>
        </w:tc>
        <w:tc>
          <w:tcPr>
            <w:tcW w:w="9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9"/>
              </w:rPr>
              <w:t>(98)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(49,107)</w:t>
            </w:r>
          </w:p>
        </w:tc>
        <w:tc>
          <w:tcPr>
            <w:tcW w:w="3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(30,550)</w:t>
            </w:r>
          </w:p>
        </w:tc>
        <w:tc>
          <w:tcPr>
            <w:tcW w:w="96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9"/>
              </w:rPr>
              <w:t>(61)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1360" w:type="dxa"/>
            <w:vAlign w:val="bottom"/>
          </w:tcPr>
          <w:p>
            <w:pPr>
              <w:jc w:val="right"/>
              <w:ind w:right="236"/>
              <w:spacing w:after="0"/>
              <w:rPr>
                <w:sz w:val="20"/>
                <w:szCs w:val="20"/>
                <w:color w:val="auto"/>
              </w:rPr>
            </w:pPr>
            <w:r>
              <w:rPr>
                <w:rFonts w:ascii="Arial" w:cs="Arial" w:eastAsia="Arial" w:hAnsi="Arial"/>
                <w:sz w:val="18"/>
                <w:szCs w:val="18"/>
                <w:color w:val="auto"/>
              </w:rPr>
              <w:t>(24)%</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(1,318) bps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(651) bps</w:t>
            </w:r>
          </w:p>
        </w:tc>
      </w:tr>
      <w:tr>
        <w:trPr>
          <w:trHeight w:val="230"/>
        </w:trPr>
        <w:tc>
          <w:tcPr>
            <w:tcW w:w="2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 loss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(13,541)</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(9,036)</w:t>
            </w:r>
          </w:p>
        </w:tc>
        <w:tc>
          <w:tcPr>
            <w:tcW w:w="9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9"/>
              </w:rPr>
              <w:t>(50)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(26,504)</w:t>
            </w:r>
          </w:p>
        </w:tc>
        <w:tc>
          <w:tcPr>
            <w:tcW w:w="3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(18,155)</w:t>
            </w:r>
          </w:p>
        </w:tc>
        <w:tc>
          <w:tcPr>
            <w:tcW w:w="96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9"/>
              </w:rPr>
              <w:t>(46)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1360" w:type="dxa"/>
            <w:vAlign w:val="bottom"/>
          </w:tcPr>
          <w:p>
            <w:pPr>
              <w:jc w:val="right"/>
              <w:ind w:right="236"/>
              <w:spacing w:after="0"/>
              <w:rPr>
                <w:sz w:val="20"/>
                <w:szCs w:val="20"/>
                <w:color w:val="auto"/>
              </w:rPr>
            </w:pPr>
            <w:r>
              <w:rPr>
                <w:rFonts w:ascii="Arial" w:cs="Arial" w:eastAsia="Arial" w:hAnsi="Arial"/>
                <w:sz w:val="18"/>
                <w:szCs w:val="18"/>
                <w:color w:val="auto"/>
              </w:rPr>
              <w:t>(15)%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(262) bps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2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(1) See below for a reconciliation of Adjusted EBITDA to net loss.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Active Buyers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in our marketplace and is identified by a unique email address. A single person could have multiple thredUP accounts and count as multiple Active Buyers. The number of Active Buyers is a key driver of revenue for our marketplace and we expect the number of Active Buyers to increase over time.</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Orders</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Orders means the total number of orders placed by buyers across our marketplace, including through our RaaS clients, in a given period, net of cancellations. We expect Orders to increase over time.</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EBITDA</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Adjusted EBITDA means net loss adjusted to exclude, where applicable in a given period, depreciation and amortization, stock-based compensation expense, interest expense, acquisition related expenses, restructuring charges, change in fair value of convertible preferred stock warrant liability and provision for income taxes. We use Adjusted EBITDA, a non-GAAP metric, to evaluate and assess our operating performance 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net loss to Adjusted EBITDA: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6"/>
                <w:szCs w:val="16"/>
                <w:color w:val="auto"/>
              </w:rPr>
            </w:pPr>
          </w:p>
        </w:tc>
      </w:tr>
      <w:tr>
        <w:trPr>
          <w:trHeight w:val="208"/>
        </w:trPr>
        <w:tc>
          <w:tcPr>
            <w:tcW w:w="4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196"/>
        </w:trPr>
        <w:tc>
          <w:tcPr>
            <w:tcW w:w="4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96"/>
        </w:trPr>
        <w:tc>
          <w:tcPr>
            <w:tcW w:w="4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Reconciliation:</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GAAP 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(28,399)</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(14,379)</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(49,107)</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(30,550)</w:t>
            </w: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10,058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13,581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6,394</w:t>
            </w: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Acquisition-related expenses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4300" w:type="dxa"/>
            <w:vAlign w:val="bottom"/>
          </w:tcPr>
          <w:p>
            <w:pPr>
              <w:ind w:left="180"/>
              <w:spacing w:after="0" w:line="189" w:lineRule="exact"/>
              <w:rPr>
                <w:sz w:val="20"/>
                <w:szCs w:val="20"/>
                <w:color w:val="auto"/>
              </w:rPr>
            </w:pPr>
            <w:r>
              <w:rPr>
                <w:rFonts w:ascii="Arial" w:cs="Arial" w:eastAsia="Arial" w:hAnsi="Arial"/>
                <w:sz w:val="18"/>
                <w:szCs w:val="18"/>
                <w:color w:val="auto"/>
              </w:rPr>
              <w:t>Change in fair value of convertible preferred stock</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warrant liability</w:t>
            </w:r>
          </w:p>
        </w:tc>
        <w:tc>
          <w:tcPr>
            <w:tcW w:w="4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Non-GAAP Adjusted EBITDA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(26,504)</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(18,155)</w:t>
            </w:r>
          </w:p>
        </w:tc>
      </w:tr>
      <w:tr>
        <w:trPr>
          <w:trHeight w:val="20"/>
        </w:trPr>
        <w:tc>
          <w:tcPr>
            <w:tcW w:w="4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6"/>
                <w:szCs w:val="16"/>
                <w:color w:val="auto"/>
              </w:rPr>
            </w:pPr>
          </w:p>
        </w:tc>
      </w:tr>
      <w:tr>
        <w:trPr>
          <w:trHeight w:val="208"/>
        </w:trPr>
        <w:tc>
          <w:tcPr>
            <w:tcW w:w="4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196"/>
        </w:trPr>
        <w:tc>
          <w:tcPr>
            <w:tcW w:w="4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196"/>
        </w:trPr>
        <w:tc>
          <w:tcPr>
            <w:tcW w:w="4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48,536</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48,597</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95,971</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93,285</w:t>
            </w: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22,354</w:t>
            </w:r>
          </w:p>
        </w:tc>
      </w:tr>
      <w:tr>
        <w:trPr>
          <w:trHeight w:val="223"/>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149,116</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115,639</w:t>
            </w: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10,218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20,267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21,519</w:t>
            </w: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r>
      <w:tr>
        <w:trPr>
          <w:trHeight w:val="223"/>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31,789</w:t>
            </w:r>
          </w:p>
        </w:tc>
      </w:tr>
      <w:tr>
        <w:trPr>
          <w:trHeight w:val="223"/>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52,648</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102,876</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83,850</w:t>
            </w:r>
          </w:p>
        </w:tc>
      </w:tr>
      <w:tr>
        <w:trPr>
          <w:trHeight w:val="210"/>
        </w:trPr>
        <w:tc>
          <w:tcPr>
            <w:tcW w:w="4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59,374</w:t>
            </w: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19,640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36,618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31,403</w:t>
            </w: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21,637</w:t>
            </w:r>
          </w:p>
        </w:tc>
      </w:tr>
      <w:tr>
        <w:trPr>
          <w:trHeight w:val="223"/>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151,784</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112,414</w:t>
            </w:r>
          </w:p>
        </w:tc>
      </w:tr>
      <w:tr>
        <w:trPr>
          <w:trHeight w:val="223"/>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(28,564)</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(28,390)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(49,085)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(30,510)</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(28,399)</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(49,107)</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(30,550)</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824"/>
        </w:trPr>
        <w:tc>
          <w:tcPr>
            <w:tcW w:w="4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7"/>
        </w:trPr>
        <w:tc>
          <w:tcPr>
            <w:tcW w:w="4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2022 and 2021</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r>
      <w:tr>
        <w:trPr>
          <w:trHeight w:val="208"/>
        </w:trPr>
        <w:tc>
          <w:tcPr>
            <w:tcW w:w="2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r>
      <w:tr>
        <w:trPr>
          <w:trHeight w:val="196"/>
        </w:trPr>
        <w:tc>
          <w:tcPr>
            <w:tcW w:w="2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w:t>
            </w:r>
          </w:p>
        </w:tc>
      </w:tr>
      <w:tr>
        <w:trPr>
          <w:trHeight w:val="196"/>
        </w:trPr>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40" w:type="dxa"/>
            <w:vAlign w:val="bottom"/>
            <w:gridSpan w:val="6"/>
          </w:tcPr>
          <w:p>
            <w:pPr>
              <w:ind w:left="6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48,536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48,597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95,971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93,285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27,885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11,362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16,523</w:t>
            </w:r>
          </w:p>
        </w:tc>
        <w:tc>
          <w:tcPr>
            <w:tcW w:w="4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145 %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53,145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22,354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30,791</w:t>
            </w:r>
          </w:p>
        </w:tc>
        <w:tc>
          <w:tcPr>
            <w:tcW w:w="4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138 %</w:t>
            </w:r>
          </w:p>
        </w:tc>
      </w:tr>
      <w:tr>
        <w:trPr>
          <w:trHeight w:val="23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76,421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59,959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16,462</w:t>
            </w:r>
          </w:p>
        </w:tc>
        <w:tc>
          <w:tcPr>
            <w:tcW w:w="4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149,116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w w:val="98"/>
              </w:rPr>
              <w:t>115,639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33,477</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80" w:type="dxa"/>
            <w:vAlign w:val="bottom"/>
          </w:tcPr>
          <w:p>
            <w:pPr>
              <w:ind w:left="20"/>
              <w:spacing w:after="0" w:line="168" w:lineRule="exact"/>
              <w:rPr>
                <w:sz w:val="20"/>
                <w:szCs w:val="20"/>
                <w:color w:val="auto"/>
              </w:rPr>
            </w:pPr>
            <w:r>
              <w:rPr>
                <w:rFonts w:ascii="Arial" w:cs="Arial" w:eastAsia="Arial" w:hAnsi="Arial"/>
                <w:sz w:val="18"/>
                <w:szCs w:val="18"/>
                <w:color w:val="auto"/>
              </w:rPr>
              <w:t>Consignment revenue</w:t>
            </w: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2080" w:type="dxa"/>
            <w:vAlign w:val="bottom"/>
          </w:tcPr>
          <w:p>
            <w:pPr>
              <w:ind w:left="180"/>
              <w:spacing w:after="0" w:line="176" w:lineRule="exact"/>
              <w:rPr>
                <w:sz w:val="20"/>
                <w:szCs w:val="20"/>
                <w:color w:val="auto"/>
              </w:rPr>
            </w:pPr>
            <w:r>
              <w:rPr>
                <w:rFonts w:ascii="Arial" w:cs="Arial" w:eastAsia="Arial" w:hAnsi="Arial"/>
                <w:sz w:val="18"/>
                <w:szCs w:val="18"/>
                <w:color w:val="auto"/>
              </w:rPr>
              <w:t>as a % of total</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revenue</w:t>
            </w:r>
          </w:p>
        </w:tc>
        <w:tc>
          <w:tcPr>
            <w:tcW w:w="1140" w:type="dxa"/>
            <w:vAlign w:val="bottom"/>
          </w:tcPr>
          <w:p>
            <w:pPr>
              <w:jc w:val="right"/>
              <w:spacing w:after="0"/>
              <w:rPr>
                <w:sz w:val="20"/>
                <w:szCs w:val="20"/>
                <w:color w:val="auto"/>
              </w:rPr>
            </w:pPr>
            <w:r>
              <w:rPr>
                <w:rFonts w:ascii="Arial" w:cs="Arial" w:eastAsia="Arial" w:hAnsi="Arial"/>
                <w:sz w:val="18"/>
                <w:szCs w:val="18"/>
                <w:color w:val="auto"/>
              </w:rPr>
              <w:t>64 %</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81 %</w:t>
            </w:r>
          </w:p>
        </w:tc>
        <w:tc>
          <w:tcPr>
            <w:tcW w:w="80" w:type="dxa"/>
            <w:vAlign w:val="bottom"/>
          </w:tcPr>
          <w:p>
            <w:pPr>
              <w:spacing w:after="0"/>
              <w:rPr>
                <w:sz w:val="20"/>
                <w:szCs w:val="20"/>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160" w:type="dxa"/>
            <w:vAlign w:val="bottom"/>
          </w:tcPr>
          <w:p>
            <w:pPr>
              <w:jc w:val="right"/>
              <w:spacing w:after="0"/>
              <w:rPr>
                <w:sz w:val="20"/>
                <w:szCs w:val="20"/>
                <w:color w:val="auto"/>
              </w:rPr>
            </w:pPr>
            <w:r>
              <w:rPr>
                <w:rFonts w:ascii="Arial" w:cs="Arial" w:eastAsia="Arial" w:hAnsi="Arial"/>
                <w:sz w:val="18"/>
                <w:szCs w:val="18"/>
                <w:color w:val="auto"/>
              </w:rPr>
              <w:t>64 %</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81 %</w:t>
            </w:r>
          </w:p>
        </w:tc>
        <w:tc>
          <w:tcPr>
            <w:tcW w:w="80" w:type="dxa"/>
            <w:vAlign w:val="bottom"/>
          </w:tcPr>
          <w:p>
            <w:pPr>
              <w:spacing w:after="0"/>
              <w:rPr>
                <w:sz w:val="20"/>
                <w:szCs w:val="20"/>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Product revenue as a %</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total revenue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17 %</w:t>
            </w:r>
          </w:p>
        </w:tc>
      </w:tr>
    </w:tbl>
    <w:p>
      <w:pPr>
        <w:spacing w:after="0" w:line="3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Total revenue increased by $16.5 million, or 27%, for the three months ended June 30, 2022, as compared to the three months ended June 30, 2021. This increase in total revenue was primarily attributable to a 40% increase in Orders and a 29% growth in Active Buyers resulting from our acquisition of our European operations in October 2021 and the increases in our domestic Orders and Active Buyers. We experienced slowing revenue and Order growth in the back half of June 2022 that is attributable to various factors including, but not limited to, general global economic uncertainty, increased inflation and weakening consumer discretionary spending. Overall, revenue per Order decreased by 9% primarily due to lower revenue per Order for our European operations; domestic revenue per Order increased by 6% in the comparative period due to intensified marketing, advertising and promotional efforts and sales acceleration connected with revamp of our loyalty program.</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Total revenue increased by $33.5 million, or 29%, for the six months ended June 30, 2022, as compared to the six months ended June 30, 2021. Orders increased by 43% and Active Buyers grew by 29% partially offset by a 10% decrease in revenue per Order due to lower pricing in Europe; domestic revenue per Order increased by 4% in the comparative period. Our intensified marketing, advertising and promotional efforts largely contributed to the increases in Orders and Active Buyers.</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Product revenue increased by 145% and 138%, respectively, for the three and six months ended June 30, 2022, as compared to the three and six months ended June 30, 2021. The increase was mainly due to the addition of our European operations, which is primarily product revenue, and an increase in our domestic product revenue which is due to increased upfront finished goods purchases, for which revenue is recognized as product revenue when shipped to the end customer.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r>
      <w:tr>
        <w:trPr>
          <w:trHeight w:val="209"/>
        </w:trPr>
        <w:tc>
          <w:tcPr>
            <w:tcW w:w="2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r>
      <w:tr>
        <w:trPr>
          <w:trHeight w:val="196"/>
        </w:trPr>
        <w:tc>
          <w:tcPr>
            <w:tcW w:w="2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r>
      <w:tr>
        <w:trPr>
          <w:trHeight w:val="196"/>
        </w:trPr>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40" w:type="dxa"/>
            <w:vAlign w:val="bottom"/>
            <w:gridSpan w:val="6"/>
          </w:tcPr>
          <w:p>
            <w:pPr>
              <w:ind w:left="80"/>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4"/>
        </w:trPr>
        <w:tc>
          <w:tcPr>
            <w:tcW w:w="20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Cost of consignment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10,218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10,687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20,267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21,519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13,555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5,140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w:t>
            </w:r>
          </w:p>
        </w:tc>
        <w:tc>
          <w:tcPr>
            <w:tcW w:w="4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164 %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25,973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10,270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15,703</w:t>
            </w:r>
          </w:p>
        </w:tc>
        <w:tc>
          <w:tcPr>
            <w:tcW w:w="4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153 %</w:t>
            </w: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23,773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15,827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46,240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31,789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14,451</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r>
        <w:trPr>
          <w:trHeight w:val="203"/>
        </w:trPr>
        <w:tc>
          <w:tcPr>
            <w:tcW w:w="2080" w:type="dxa"/>
            <w:vAlign w:val="bottom"/>
          </w:tcPr>
          <w:p>
            <w:pPr>
              <w:ind w:left="20"/>
              <w:spacing w:after="0" w:line="203" w:lineRule="exact"/>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6"/>
              <w:spacing w:after="0" w:line="203" w:lineRule="exact"/>
              <w:rPr>
                <w:sz w:val="20"/>
                <w:szCs w:val="20"/>
                <w:color w:val="auto"/>
              </w:rPr>
            </w:pPr>
            <w:r>
              <w:rPr>
                <w:rFonts w:ascii="Arial" w:cs="Arial" w:eastAsia="Arial" w:hAnsi="Arial"/>
                <w:sz w:val="18"/>
                <w:szCs w:val="18"/>
                <w:color w:val="auto"/>
              </w:rPr>
              <w:t>52,648</w:t>
            </w:r>
          </w:p>
        </w:tc>
        <w:tc>
          <w:tcPr>
            <w:tcW w:w="8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6"/>
              <w:spacing w:after="0" w:line="203" w:lineRule="exact"/>
              <w:rPr>
                <w:sz w:val="20"/>
                <w:szCs w:val="20"/>
                <w:color w:val="auto"/>
              </w:rPr>
            </w:pPr>
            <w:r>
              <w:rPr>
                <w:rFonts w:ascii="Arial" w:cs="Arial" w:eastAsia="Arial" w:hAnsi="Arial"/>
                <w:sz w:val="18"/>
                <w:szCs w:val="18"/>
                <w:color w:val="auto"/>
              </w:rPr>
              <w:t>44,132</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8,516</w:t>
            </w:r>
          </w:p>
        </w:tc>
        <w:tc>
          <w:tcPr>
            <w:tcW w:w="4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19 %</w:t>
            </w:r>
          </w:p>
        </w:tc>
        <w:tc>
          <w:tcPr>
            <w:tcW w:w="8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6"/>
              <w:spacing w:after="0" w:line="203" w:lineRule="exact"/>
              <w:rPr>
                <w:sz w:val="20"/>
                <w:szCs w:val="20"/>
                <w:color w:val="auto"/>
              </w:rPr>
            </w:pPr>
            <w:r>
              <w:rPr>
                <w:rFonts w:ascii="Arial" w:cs="Arial" w:eastAsia="Arial" w:hAnsi="Arial"/>
                <w:sz w:val="18"/>
                <w:szCs w:val="18"/>
                <w:color w:val="auto"/>
              </w:rPr>
              <w:t>102,876</w:t>
            </w:r>
          </w:p>
        </w:tc>
        <w:tc>
          <w:tcPr>
            <w:tcW w:w="8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6"/>
              <w:spacing w:after="0" w:line="203" w:lineRule="exact"/>
              <w:rPr>
                <w:sz w:val="20"/>
                <w:szCs w:val="20"/>
                <w:color w:val="auto"/>
              </w:rPr>
            </w:pPr>
            <w:r>
              <w:rPr>
                <w:rFonts w:ascii="Arial" w:cs="Arial" w:eastAsia="Arial" w:hAnsi="Arial"/>
                <w:sz w:val="18"/>
                <w:szCs w:val="18"/>
                <w:color w:val="auto"/>
              </w:rPr>
              <w:t>83,850</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19,026</w:t>
            </w:r>
          </w:p>
        </w:tc>
        <w:tc>
          <w:tcPr>
            <w:tcW w:w="4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23 %</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margin</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69 %</w:t>
            </w:r>
          </w:p>
        </w:tc>
        <w:tc>
          <w:tcPr>
            <w:tcW w:w="23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rPr>
              <w:t>74 %</w:t>
            </w:r>
          </w:p>
        </w:tc>
        <w:tc>
          <w:tcPr>
            <w:tcW w:w="2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69 %</w:t>
            </w:r>
          </w:p>
        </w:tc>
        <w:tc>
          <w:tcPr>
            <w:tcW w:w="302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73 %</w:t>
            </w:r>
          </w:p>
        </w:tc>
      </w:tr>
      <w:tr>
        <w:trPr>
          <w:trHeight w:val="188"/>
        </w:trPr>
        <w:tc>
          <w:tcPr>
            <w:tcW w:w="2360" w:type="dxa"/>
            <w:vAlign w:val="bottom"/>
          </w:tcPr>
          <w:p>
            <w:pPr>
              <w:ind w:left="20"/>
              <w:spacing w:after="0" w:line="189" w:lineRule="exact"/>
              <w:rPr>
                <w:sz w:val="20"/>
                <w:szCs w:val="20"/>
                <w:color w:val="auto"/>
              </w:rPr>
            </w:pPr>
            <w:r>
              <w:rPr>
                <w:rFonts w:ascii="Arial" w:cs="Arial" w:eastAsia="Arial" w:hAnsi="Arial"/>
                <w:sz w:val="18"/>
                <w:szCs w:val="18"/>
                <w:color w:val="auto"/>
              </w:rPr>
              <w:t>Cost of revenue as a %</w:t>
            </w:r>
          </w:p>
        </w:tc>
        <w:tc>
          <w:tcPr>
            <w:tcW w:w="1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of total revenue</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31 %</w:t>
            </w:r>
          </w:p>
        </w:tc>
        <w:tc>
          <w:tcPr>
            <w:tcW w:w="2300" w:type="dxa"/>
            <w:vAlign w:val="bottom"/>
          </w:tcPr>
          <w:p>
            <w:pPr>
              <w:jc w:val="right"/>
              <w:ind w:right="1390"/>
              <w:spacing w:after="0"/>
              <w:rPr>
                <w:sz w:val="20"/>
                <w:szCs w:val="20"/>
                <w:color w:val="auto"/>
              </w:rPr>
            </w:pPr>
            <w:r>
              <w:rPr>
                <w:rFonts w:ascii="Arial" w:cs="Arial" w:eastAsia="Arial" w:hAnsi="Arial"/>
                <w:sz w:val="18"/>
                <w:szCs w:val="18"/>
                <w:color w:val="auto"/>
              </w:rPr>
              <w:t>26 %</w:t>
            </w:r>
          </w:p>
        </w:tc>
        <w:tc>
          <w:tcPr>
            <w:tcW w:w="2320" w:type="dxa"/>
            <w:vAlign w:val="bottom"/>
          </w:tcPr>
          <w:p>
            <w:pPr>
              <w:jc w:val="right"/>
              <w:ind w:right="330"/>
              <w:spacing w:after="0"/>
              <w:rPr>
                <w:sz w:val="20"/>
                <w:szCs w:val="20"/>
                <w:color w:val="auto"/>
              </w:rPr>
            </w:pPr>
            <w:r>
              <w:rPr>
                <w:rFonts w:ascii="Arial" w:cs="Arial" w:eastAsia="Arial" w:hAnsi="Arial"/>
                <w:sz w:val="18"/>
                <w:szCs w:val="18"/>
                <w:color w:val="auto"/>
              </w:rPr>
              <w:t>31 %</w:t>
            </w:r>
          </w:p>
        </w:tc>
        <w:tc>
          <w:tcPr>
            <w:tcW w:w="3020" w:type="dxa"/>
            <w:vAlign w:val="bottom"/>
          </w:tcPr>
          <w:p>
            <w:pPr>
              <w:jc w:val="right"/>
              <w:ind w:right="2110"/>
              <w:spacing w:after="0"/>
              <w:rPr>
                <w:sz w:val="20"/>
                <w:szCs w:val="20"/>
                <w:color w:val="auto"/>
              </w:rPr>
            </w:pPr>
            <w:r>
              <w:rPr>
                <w:rFonts w:ascii="Arial" w:cs="Arial" w:eastAsia="Arial" w:hAnsi="Arial"/>
                <w:sz w:val="18"/>
                <w:szCs w:val="18"/>
                <w:color w:val="auto"/>
              </w:rPr>
              <w:t>27 %</w:t>
            </w:r>
          </w:p>
        </w:tc>
      </w:tr>
      <w:tr>
        <w:trPr>
          <w:trHeight w:val="188"/>
        </w:trPr>
        <w:tc>
          <w:tcPr>
            <w:tcW w:w="2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Cost of consignment</w:t>
            </w:r>
          </w:p>
        </w:tc>
        <w:tc>
          <w:tcPr>
            <w:tcW w:w="12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r>
      <w:tr>
        <w:trPr>
          <w:trHeight w:val="189"/>
        </w:trPr>
        <w:tc>
          <w:tcPr>
            <w:tcW w:w="2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revenue as a % of</w:t>
            </w:r>
          </w:p>
        </w:tc>
        <w:tc>
          <w:tcPr>
            <w:tcW w:w="12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r>
      <w:tr>
        <w:trPr>
          <w:trHeight w:val="217"/>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cost of revenue</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43 %</w:t>
            </w:r>
          </w:p>
        </w:tc>
        <w:tc>
          <w:tcPr>
            <w:tcW w:w="23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rPr>
              <w:t>68 %</w:t>
            </w:r>
          </w:p>
        </w:tc>
        <w:tc>
          <w:tcPr>
            <w:tcW w:w="2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44 %</w:t>
            </w:r>
          </w:p>
        </w:tc>
        <w:tc>
          <w:tcPr>
            <w:tcW w:w="302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68 %</w:t>
            </w:r>
          </w:p>
        </w:tc>
      </w:tr>
      <w:tr>
        <w:trPr>
          <w:trHeight w:val="188"/>
        </w:trPr>
        <w:tc>
          <w:tcPr>
            <w:tcW w:w="2360" w:type="dxa"/>
            <w:vAlign w:val="bottom"/>
          </w:tcPr>
          <w:p>
            <w:pPr>
              <w:ind w:left="20"/>
              <w:spacing w:after="0" w:line="189" w:lineRule="exact"/>
              <w:rPr>
                <w:sz w:val="20"/>
                <w:szCs w:val="20"/>
                <w:color w:val="auto"/>
              </w:rPr>
            </w:pPr>
            <w:r>
              <w:rPr>
                <w:rFonts w:ascii="Arial" w:cs="Arial" w:eastAsia="Arial" w:hAnsi="Arial"/>
                <w:sz w:val="18"/>
                <w:szCs w:val="18"/>
                <w:color w:val="auto"/>
              </w:rPr>
              <w:t>Cost of product revenue</w:t>
            </w:r>
          </w:p>
        </w:tc>
        <w:tc>
          <w:tcPr>
            <w:tcW w:w="1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189"/>
        </w:trPr>
        <w:tc>
          <w:tcPr>
            <w:tcW w:w="2360" w:type="dxa"/>
            <w:vAlign w:val="bottom"/>
          </w:tcPr>
          <w:p>
            <w:pPr>
              <w:ind w:left="180"/>
              <w:spacing w:after="0" w:line="189" w:lineRule="exact"/>
              <w:rPr>
                <w:sz w:val="20"/>
                <w:szCs w:val="20"/>
                <w:color w:val="auto"/>
              </w:rPr>
            </w:pPr>
            <w:r>
              <w:rPr>
                <w:rFonts w:ascii="Arial" w:cs="Arial" w:eastAsia="Arial" w:hAnsi="Arial"/>
                <w:sz w:val="18"/>
                <w:szCs w:val="18"/>
                <w:color w:val="auto"/>
              </w:rPr>
              <w:t>as a % of total cost of</w:t>
            </w:r>
          </w:p>
        </w:tc>
        <w:tc>
          <w:tcPr>
            <w:tcW w:w="1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17"/>
        </w:trPr>
        <w:tc>
          <w:tcPr>
            <w:tcW w:w="236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57 %</w:t>
            </w:r>
          </w:p>
        </w:tc>
        <w:tc>
          <w:tcPr>
            <w:tcW w:w="2300" w:type="dxa"/>
            <w:vAlign w:val="bottom"/>
          </w:tcPr>
          <w:p>
            <w:pPr>
              <w:jc w:val="right"/>
              <w:ind w:right="1390"/>
              <w:spacing w:after="0"/>
              <w:rPr>
                <w:sz w:val="20"/>
                <w:szCs w:val="20"/>
                <w:color w:val="auto"/>
              </w:rPr>
            </w:pPr>
            <w:r>
              <w:rPr>
                <w:rFonts w:ascii="Arial" w:cs="Arial" w:eastAsia="Arial" w:hAnsi="Arial"/>
                <w:sz w:val="18"/>
                <w:szCs w:val="18"/>
                <w:color w:val="auto"/>
              </w:rPr>
              <w:t>32 %</w:t>
            </w:r>
          </w:p>
        </w:tc>
        <w:tc>
          <w:tcPr>
            <w:tcW w:w="2320" w:type="dxa"/>
            <w:vAlign w:val="bottom"/>
          </w:tcPr>
          <w:p>
            <w:pPr>
              <w:jc w:val="right"/>
              <w:ind w:right="330"/>
              <w:spacing w:after="0"/>
              <w:rPr>
                <w:sz w:val="20"/>
                <w:szCs w:val="20"/>
                <w:color w:val="auto"/>
              </w:rPr>
            </w:pPr>
            <w:r>
              <w:rPr>
                <w:rFonts w:ascii="Arial" w:cs="Arial" w:eastAsia="Arial" w:hAnsi="Arial"/>
                <w:sz w:val="18"/>
                <w:szCs w:val="18"/>
                <w:color w:val="auto"/>
              </w:rPr>
              <w:t>56 %</w:t>
            </w:r>
          </w:p>
        </w:tc>
        <w:tc>
          <w:tcPr>
            <w:tcW w:w="3020" w:type="dxa"/>
            <w:vAlign w:val="bottom"/>
          </w:tcPr>
          <w:p>
            <w:pPr>
              <w:jc w:val="right"/>
              <w:ind w:right="2110"/>
              <w:spacing w:after="0"/>
              <w:rPr>
                <w:sz w:val="20"/>
                <w:szCs w:val="20"/>
                <w:color w:val="auto"/>
              </w:rPr>
            </w:pPr>
            <w:r>
              <w:rPr>
                <w:rFonts w:ascii="Arial" w:cs="Arial" w:eastAsia="Arial" w:hAnsi="Arial"/>
                <w:sz w:val="18"/>
                <w:szCs w:val="18"/>
                <w:color w:val="auto"/>
              </w:rPr>
              <w:t>32 %</w:t>
            </w:r>
          </w:p>
        </w:tc>
      </w:tr>
    </w:tbl>
    <w:p>
      <w:pPr>
        <w:spacing w:after="0" w:line="3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Total cost of revenue as a percentage of total revenue was 31% for the three months ended June 30, 2022, an increase of 471 basis points from 26% for the three months ended June 30, 2021. Total cost of revenue as a percentage of total revenue was 31% for the six months ended June 30, 2022, an increase of 352 basis points from 27% for the six months ended June 30, 2021. This decrease in gross profit margin was primarily due to the inclusion of operating results of our European operations from October 2021 onward. Revenue from our European operations is primarily derived from product sales with a lower gross profit margin. Consignment sales have a higher gross profit margin than product sales but made up a smaller percentage of total revenue for both the three and six months ended June 30, 2022 due to combination with revenue coming from our European operations. Revenue for consignment sales is recognized net of seller payouts and cost of items sold, whereas, for product sales, seller payouts and cost of items sold are included as a component of cost of revenue.</w:t>
      </w:r>
    </w:p>
    <w:p>
      <w:pPr>
        <w:spacing w:after="0" w:line="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expect cost of revenue to decrease in absolute dollars but increase as a percentage of revenue as our European operations become a greater share of our overall business in the short-term.</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Consignment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gridSpan w:val="3"/>
          </w:tcPr>
          <w:p>
            <w:pPr>
              <w:ind w:left="10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r>
      <w:tr>
        <w:trPr>
          <w:trHeight w:val="208"/>
        </w:trPr>
        <w:tc>
          <w:tcPr>
            <w:tcW w:w="214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r>
      <w:tr>
        <w:trPr>
          <w:trHeight w:val="196"/>
        </w:trPr>
        <w:tc>
          <w:tcPr>
            <w:tcW w:w="2140" w:type="dxa"/>
            <w:vAlign w:val="bottom"/>
          </w:tcPr>
          <w:p>
            <w:pPr>
              <w:spacing w:after="0"/>
              <w:rPr>
                <w:sz w:val="17"/>
                <w:szCs w:val="17"/>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Amount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196"/>
        </w:trPr>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60" w:type="dxa"/>
            <w:vAlign w:val="bottom"/>
            <w:gridSpan w:val="4"/>
          </w:tcPr>
          <w:p>
            <w:pPr>
              <w:jc w:val="right"/>
              <w:ind w:right="8"/>
              <w:spacing w:after="0"/>
              <w:rPr>
                <w:sz w:val="20"/>
                <w:szCs w:val="20"/>
                <w:color w:val="auto"/>
              </w:rPr>
            </w:pPr>
            <w:r>
              <w:rPr>
                <w:rFonts w:ascii="Arial" w:cs="Arial" w:eastAsia="Arial" w:hAnsi="Arial"/>
                <w:sz w:val="14"/>
                <w:szCs w:val="14"/>
                <w:i w:val="1"/>
                <w:iCs w:val="1"/>
                <w:color w:val="auto"/>
              </w:rPr>
              <w:t>(in thousands, except percentages)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4"/>
        </w:trPr>
        <w:tc>
          <w:tcPr>
            <w:tcW w:w="21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Cost of consignment</w:t>
            </w: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   10,218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10,687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(469)</w:t>
            </w:r>
          </w:p>
        </w:tc>
        <w:tc>
          <w:tcPr>
            <w:tcW w:w="17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(4)% $   20,267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21,519</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   (1,252)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88"/>
        </w:trPr>
        <w:tc>
          <w:tcPr>
            <w:tcW w:w="2140" w:type="dxa"/>
            <w:vAlign w:val="bottom"/>
          </w:tcPr>
          <w:p>
            <w:pPr>
              <w:ind w:left="20"/>
              <w:spacing w:after="0" w:line="189" w:lineRule="exact"/>
              <w:rPr>
                <w:sz w:val="20"/>
                <w:szCs w:val="20"/>
                <w:color w:val="auto"/>
              </w:rPr>
            </w:pPr>
            <w:r>
              <w:rPr>
                <w:rFonts w:ascii="Arial" w:cs="Arial" w:eastAsia="Arial" w:hAnsi="Arial"/>
                <w:sz w:val="18"/>
                <w:szCs w:val="18"/>
                <w:color w:val="auto"/>
              </w:rPr>
              <w:t>As a percent of</w:t>
            </w: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consignment revenue</w:t>
            </w:r>
          </w:p>
        </w:tc>
        <w:tc>
          <w:tcPr>
            <w:tcW w:w="1180" w:type="dxa"/>
            <w:vAlign w:val="bottom"/>
          </w:tcPr>
          <w:p>
            <w:pPr>
              <w:jc w:val="right"/>
              <w:spacing w:after="0"/>
              <w:rPr>
                <w:sz w:val="20"/>
                <w:szCs w:val="20"/>
                <w:color w:val="auto"/>
              </w:rPr>
            </w:pPr>
            <w:r>
              <w:rPr>
                <w:rFonts w:ascii="Arial" w:cs="Arial" w:eastAsia="Arial" w:hAnsi="Arial"/>
                <w:sz w:val="18"/>
                <w:szCs w:val="18"/>
                <w:color w:val="auto"/>
              </w:rPr>
              <w:t>21 %</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88"/>
        </w:trPr>
        <w:tc>
          <w:tcPr>
            <w:tcW w:w="2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Consignment gross</w:t>
            </w: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bl>
    <w:p>
      <w:pPr>
        <w:spacing w:after="0" w:line="3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Cost of consignment revenue decreased by $0.5 million, or 4% for the three months ended June 30, 2022 compared to the three months ended June 30, 2021. Cost of consignment revenue decreased by $1.3 million or 6% for the six months ended June 30, 2022 compared to the six months ended June 30, 2021. The decreases in the comparative periods were due to consignment revenue being a smaller percentage of total revenue and changes in related costs outlined in the table as follows.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20" w:type="dxa"/>
            <w:vAlign w:val="bottom"/>
            <w:gridSpan w:val="6"/>
          </w:tcPr>
          <w:p>
            <w:pPr>
              <w:ind w:left="140"/>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Outbound shipping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Direct labor</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4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4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168"/>
        </w:trPr>
        <w:tc>
          <w:tcPr>
            <w:tcW w:w="22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cost of consignment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20,267</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21,519</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Consignment gross margin increased 94 basis points to 79% for the three months ended June 30, 2022. Consignment gross margin increased 195 basis points to 79% for the six months ended June 30, 2022. Outbound shipping costs decreased mainly due to consolidation of our outbound shipping process across distribution centers which was partially offset by higher shipping rates and increased direct labor.</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Product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gridSpan w:val="4"/>
          </w:tcPr>
          <w:p>
            <w:pPr>
              <w:jc w:val="right"/>
              <w:ind w:right="804"/>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3"/>
          </w:tcPr>
          <w:p>
            <w:pPr>
              <w:jc w:val="right"/>
              <w:ind w:right="882"/>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6"/>
                <w:szCs w:val="16"/>
                <w:color w:val="auto"/>
              </w:rPr>
            </w:pPr>
          </w:p>
        </w:tc>
      </w:tr>
      <w:tr>
        <w:trPr>
          <w:trHeight w:val="209"/>
        </w:trPr>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8"/>
                <w:szCs w:val="18"/>
                <w:color w:val="auto"/>
              </w:rPr>
            </w:pPr>
          </w:p>
        </w:tc>
      </w:tr>
      <w:tr>
        <w:trPr>
          <w:trHeight w:val="196"/>
        </w:trPr>
        <w:tc>
          <w:tcPr>
            <w:tcW w:w="2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r>
      <w:tr>
        <w:trPr>
          <w:trHeight w:val="196"/>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5"/>
          </w:tcPr>
          <w:p>
            <w:pPr>
              <w:jc w:val="right"/>
              <w:ind w:right="17"/>
              <w:spacing w:after="0"/>
              <w:rPr>
                <w:sz w:val="20"/>
                <w:szCs w:val="20"/>
                <w:color w:val="auto"/>
              </w:rPr>
            </w:pPr>
            <w:r>
              <w:rPr>
                <w:rFonts w:ascii="Arial" w:cs="Arial" w:eastAsia="Arial" w:hAnsi="Arial"/>
                <w:sz w:val="14"/>
                <w:szCs w:val="14"/>
                <w:i w:val="1"/>
                <w:iCs w:val="1"/>
                <w:color w:val="auto"/>
              </w:rPr>
              <w:t>(in thousands, except percentages)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6"/>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 revenue $</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13,555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5,140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44"/>
              <w:spacing w:after="0"/>
              <w:rPr>
                <w:sz w:val="20"/>
                <w:szCs w:val="20"/>
                <w:color w:val="auto"/>
              </w:rPr>
            </w:pPr>
            <w:r>
              <w:rPr>
                <w:rFonts w:ascii="Arial" w:cs="Arial" w:eastAsia="Arial" w:hAnsi="Arial"/>
                <w:sz w:val="18"/>
                <w:szCs w:val="18"/>
                <w:color w:val="auto"/>
              </w:rPr>
              <w:t>8,415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164 % $</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25,973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10,270</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   15,703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02"/>
        </w:trPr>
        <w:tc>
          <w:tcPr>
            <w:tcW w:w="22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As a percent of product</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7"/>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960" w:type="dxa"/>
            <w:vAlign w:val="bottom"/>
          </w:tcPr>
          <w:p>
            <w:pPr>
              <w:jc w:val="right"/>
              <w:spacing w:after="0"/>
              <w:rPr>
                <w:sz w:val="20"/>
                <w:szCs w:val="20"/>
                <w:color w:val="auto"/>
              </w:rPr>
            </w:pPr>
            <w:r>
              <w:rPr>
                <w:rFonts w:ascii="Arial" w:cs="Arial" w:eastAsia="Arial" w:hAnsi="Arial"/>
                <w:sz w:val="18"/>
                <w:szCs w:val="18"/>
                <w:color w:val="auto"/>
              </w:rPr>
              <w:t>49 %</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49 %</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gross margin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bl>
    <w:p>
      <w:pPr>
        <w:spacing w:after="0" w:line="377"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Cost of product revenue increased $8.4 million, or 164%, for the three months ended June 30, 2022 compared to the three months ended June 30, 2021. Cost of product revenue increased $15.7 million or 153% for the six months ended June 30, 2022 compared to the six months ended June 30, 2021. The increases in cost of product revenue in the comparative periods were primarily driven by higher domestic product revenue and inclusion of our European operations in 2022 onward. The cost components are detailed in the table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0" w:type="dxa"/>
            <w:vAlign w:val="bottom"/>
            <w:gridSpan w:val="6"/>
          </w:tcPr>
          <w:p>
            <w:pPr>
              <w:ind w:left="140"/>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Outbound shipping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1,008</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labor</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Packaging</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4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4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168"/>
        </w:trPr>
        <w:tc>
          <w:tcPr>
            <w:tcW w:w="22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cost of product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15,703</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Product gross margin decreased 337 basis points to 51% for the three months ended June 30, 2022. Product gross margin decreased 293 basis points to 51% for the six months ended June 30, 2022. Our European operations have lower product profit margin mainly due to capitalization of production costs into inventory and release from inventory to cost of product revenue as items are shipped. The increase in outbound shipping from the inclusion of our European operations in 2022 was offset by a decrease in domestic outbound shipping relative to the revenue growth due to consolidation of our outbound shipping process across distribution centers. The 171% and 148% increases in direct labor for the three and six months ended June 30, 2022, respectively, as compared to the same periods in 2021 were due primarily to the 145% and 138% growth in product revenue during the three and six months ended June 30, 2022, respectively, as compared to the same periods in 2021.</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gridSpan w:val="6"/>
          </w:tcPr>
          <w:p>
            <w:pPr>
              <w:ind w:left="4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Operations, product and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43,961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31,062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83,122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59,374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23,748</w:t>
            </w: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19,640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15,957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3,683</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36,618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31,403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5,215</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Sales, general and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17,380</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10,999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32,044</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21,637</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w:t>
            </w: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168"/>
        </w:trPr>
        <w:tc>
          <w:tcPr>
            <w:tcW w:w="2100" w:type="dxa"/>
            <w:vAlign w:val="bottom"/>
          </w:tcPr>
          <w:p>
            <w:pPr>
              <w:ind w:left="20"/>
              <w:spacing w:after="0" w:line="168" w:lineRule="exact"/>
              <w:rPr>
                <w:sz w:val="20"/>
                <w:szCs w:val="20"/>
                <w:color w:val="auto"/>
              </w:rPr>
            </w:pPr>
            <w:r>
              <w:rPr>
                <w:rFonts w:ascii="Arial" w:cs="Arial" w:eastAsia="Arial" w:hAnsi="Arial"/>
                <w:sz w:val="18"/>
                <w:szCs w:val="18"/>
                <w:color w:val="auto"/>
              </w:rPr>
              <w:t>Total operating</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54"/>
              <w:spacing w:after="0"/>
              <w:rPr>
                <w:sz w:val="20"/>
                <w:szCs w:val="20"/>
                <w:color w:val="auto"/>
              </w:rPr>
            </w:pPr>
            <w:r>
              <w:rPr>
                <w:rFonts w:ascii="Arial" w:cs="Arial" w:eastAsia="Arial" w:hAnsi="Arial"/>
                <w:sz w:val="18"/>
                <w:szCs w:val="18"/>
                <w:color w:val="auto"/>
              </w:rPr>
              <w:t>80,981</w:t>
            </w:r>
          </w:p>
        </w:tc>
        <w:tc>
          <w:tcPr>
            <w:tcW w:w="8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34"/>
              <w:spacing w:after="0"/>
              <w:rPr>
                <w:sz w:val="20"/>
                <w:szCs w:val="20"/>
                <w:color w:val="auto"/>
              </w:rPr>
            </w:pPr>
            <w:r>
              <w:rPr>
                <w:rFonts w:ascii="Arial" w:cs="Arial" w:eastAsia="Arial" w:hAnsi="Arial"/>
                <w:sz w:val="18"/>
                <w:szCs w:val="18"/>
                <w:color w:val="auto"/>
              </w:rPr>
              <w:t>58,018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22,963</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54"/>
              <w:spacing w:after="0"/>
              <w:rPr>
                <w:sz w:val="20"/>
                <w:szCs w:val="20"/>
                <w:color w:val="auto"/>
              </w:rPr>
            </w:pPr>
            <w:r>
              <w:rPr>
                <w:rFonts w:ascii="Arial" w:cs="Arial" w:eastAsia="Arial" w:hAnsi="Arial"/>
                <w:sz w:val="18"/>
                <w:szCs w:val="18"/>
                <w:color w:val="auto"/>
              </w:rPr>
              <w:t>151,784</w:t>
            </w:r>
          </w:p>
        </w:tc>
        <w:tc>
          <w:tcPr>
            <w:tcW w:w="8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54"/>
              <w:spacing w:after="0"/>
              <w:rPr>
                <w:sz w:val="20"/>
                <w:szCs w:val="20"/>
                <w:color w:val="auto"/>
              </w:rPr>
            </w:pPr>
            <w:r>
              <w:rPr>
                <w:rFonts w:ascii="Arial" w:cs="Arial" w:eastAsia="Arial" w:hAnsi="Arial"/>
                <w:sz w:val="18"/>
                <w:szCs w:val="18"/>
                <w:color w:val="auto"/>
              </w:rPr>
              <w:t>112,414</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39,370</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00" w:type="dxa"/>
            <w:vAlign w:val="bottom"/>
          </w:tcPr>
          <w:p>
            <w:pPr>
              <w:ind w:left="180"/>
              <w:spacing w:after="0" w:line="203" w:lineRule="exact"/>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40 %</w:t>
            </w: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1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Operations, product and</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technology as a % of</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line="189" w:lineRule="exact"/>
              <w:rPr>
                <w:sz w:val="20"/>
                <w:szCs w:val="20"/>
                <w:color w:val="auto"/>
              </w:rPr>
            </w:pPr>
            <w:r>
              <w:rPr>
                <w:rFonts w:ascii="Arial" w:cs="Arial" w:eastAsia="Arial" w:hAnsi="Arial"/>
                <w:sz w:val="18"/>
                <w:szCs w:val="18"/>
                <w:color w:val="auto"/>
              </w:rPr>
              <w:t>Marketing as a % of</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Sales, general and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administrative as a %</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total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Operating expenses increased $23.0 million, or 40%, for the three months ended June 30, 2022 compared to the three months ended June 30, 2021. Operating expenses increased $39.4 million, or 35%, for the six months ended June 30, 2022 compared to the six months ended June 30, 2021 in the same period. We continue to invest in the expansion of distribution center processing capacity, marketing efforts, infrastructure to support being a public company and expansion into Europe. Results by operating expenses line item are discussed below.</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Operations, Product and Technology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20" w:type="dxa"/>
            <w:vAlign w:val="bottom"/>
            <w:gridSpan w:val="6"/>
          </w:tcPr>
          <w:p>
            <w:pPr>
              <w:ind w:left="40"/>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27,674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19,272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53,168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37,951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Facilities and other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40" w:type="dxa"/>
            <w:vAlign w:val="bottom"/>
          </w:tcPr>
          <w:p>
            <w:pPr>
              <w:ind w:left="20"/>
              <w:spacing w:after="0"/>
              <w:rPr>
                <w:sz w:val="20"/>
                <w:szCs w:val="20"/>
                <w:color w:val="auto"/>
              </w:rPr>
            </w:pPr>
            <w:r>
              <w:rPr>
                <w:rFonts w:ascii="Arial" w:cs="Arial" w:eastAsia="Arial" w:hAnsi="Arial"/>
                <w:sz w:val="18"/>
                <w:szCs w:val="18"/>
                <w:color w:val="auto"/>
              </w:rPr>
              <w:t>allocated costs</w:t>
            </w:r>
          </w:p>
        </w:tc>
        <w:tc>
          <w:tcPr>
            <w:tcW w:w="240" w:type="dxa"/>
            <w:vAlign w:val="bottom"/>
          </w:tcPr>
          <w:p>
            <w:pPr>
              <w:spacing w:after="0"/>
              <w:rPr>
                <w:sz w:val="18"/>
                <w:szCs w:val="18"/>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9,203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17,533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12,501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5,032</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Inbound and other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shipping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6,537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5,077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11,413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8,632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4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136 %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1,008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4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182"/>
        </w:trPr>
        <w:tc>
          <w:tcPr>
            <w:tcW w:w="2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operations,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product and technology</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43,961</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31,062</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83,122</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59,374</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23,748</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42 %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Arial" w:cs="Arial" w:eastAsia="Arial" w:hAnsi="Arial"/>
                <w:sz w:val="18"/>
                <w:szCs w:val="18"/>
                <w:color w:val="auto"/>
              </w:rPr>
              <w:t>Operations, product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Arial" w:cs="Arial" w:eastAsia="Arial" w:hAnsi="Arial"/>
                <w:sz w:val="18"/>
                <w:szCs w:val="18"/>
                <w:color w:val="auto"/>
              </w:rPr>
              <w:t>and technology as % of</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Personnel-related costs were $27.7 million for the three months ended June 30, 2022, a 44% increase from $ 19.3 million for the three months ended June 30, 2021. Personnel-related costs were $53.2 million for the six months ended June 30, 2022, which increased by 40% from $38.0 million for the six months ended June 30, 2021. Our average headcount in distribution and processing centers, corporate and general operational support functions increased 37% and 55% for the three and six months ended June 30, 2022, respectively, as compared to the three and six months ended June 30, 2021.</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Facilities and other allocated costs were $9.2 million for the three months ended June 30, 2022, which increased by 42% from $6.5 million for the three months ended June 30, 2021, driven by increases of $1.9 million in rent, depreciation, supplies and third-party logistics related to distribution and processing centers and $0.8 million in software subscriptions and hosting fees. Facilities and other allocated costs were $17.5 million for the six months ended June 30, 2022, which increased by 40% from $12.5 million for the six months ended June 30, 2021, driven by increases of $3.8 million in rent, depreciation and other operating expenses in distribution and processing centers and $1.3 million in software subscriptions and hosting fees.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Inbound and other shipping costs were $6.5 million for the three months ended June 30, 2022, which increased by 29% from $5.1 million for the three months ended June 30, 2021. Inbound and other shipping costs were $11.4 million for the six months ended June 30, 2022, which increased by 32% from $8.6 million for the six months ended June 30, 2021. The increases in the comparative periods were driven by higher shipping rates and increases in transfers between our processing centers and distribution centers.</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expect operating, product and technology costs to decrease in absolute dollars but to be a higher percentage of revenue next quarter due to fixed facilities and technology costs.</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r>
      <w:tr>
        <w:trPr>
          <w:trHeight w:val="208"/>
        </w:trPr>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r>
      <w:tr>
        <w:trPr>
          <w:trHeight w:val="196"/>
        </w:trPr>
        <w:tc>
          <w:tcPr>
            <w:tcW w:w="2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r>
      <w:tr>
        <w:trPr>
          <w:trHeight w:val="196"/>
        </w:trPr>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40" w:type="dxa"/>
            <w:vAlign w:val="bottom"/>
            <w:gridSpan w:val="6"/>
          </w:tcPr>
          <w:p>
            <w:pPr>
              <w:ind w:left="40"/>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4"/>
        </w:trPr>
        <w:tc>
          <w:tcPr>
            <w:tcW w:w="21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Marketing and</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13,743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29,172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26,963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Personnel-related costs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1,567</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5,197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3,239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1,958</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188"/>
        </w:trPr>
        <w:tc>
          <w:tcPr>
            <w:tcW w:w="2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Facilities and technology</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allocated costs</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126 %</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r>
      <w:tr>
        <w:trPr>
          <w:trHeight w:val="223"/>
        </w:trPr>
        <w:tc>
          <w:tcPr>
            <w:tcW w:w="2100" w:type="dxa"/>
            <w:vAlign w:val="bottom"/>
          </w:tcPr>
          <w:p>
            <w:pPr>
              <w:ind w:left="20"/>
              <w:spacing w:after="0"/>
              <w:rPr>
                <w:sz w:val="20"/>
                <w:szCs w:val="20"/>
                <w:color w:val="auto"/>
              </w:rPr>
            </w:pPr>
            <w:r>
              <w:rPr>
                <w:rFonts w:ascii="Arial" w:cs="Arial" w:eastAsia="Arial" w:hAnsi="Arial"/>
                <w:sz w:val="18"/>
                <w:szCs w:val="18"/>
                <w:color w:val="auto"/>
              </w:rPr>
              <w:t>Total marketing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19,640</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15,957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3,683</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36,618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31,403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5,215</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155"/>
        </w:trPr>
        <w:tc>
          <w:tcPr>
            <w:tcW w:w="21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Marketing as % of total</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bl>
    <w:p>
      <w:pPr>
        <w:spacing w:after="0" w:line="3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increased 23% for the three months ended June 30, 2022. Marketing and advertising costs were $15.2 million for the three months ended June 30, 2022, which increased by 11% from $13.7 million for the three months ended June 30, 2021. The increase in marketing and advertising costs was driven by an increase of $2.4 million from our acquisition of our European operations in 2021, offset by $0.9 million from the discontinuance of our Goody Box program. Marketing costs increased 17% for the six months ended June 30, 2022. Marketing and advertising costs were $29.2 million for the six months ended June 30, 2022, which increased by 8% from $27.0 million for the six months ended June 30, 2021. The increase in marketing and advertising costs was driven by an increase of $4.2 million from our acquisition of our European operations in 2021, offset by $2.0 million from the discontinuance of our Goody Box program and reduction in other domestic marketing costs.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Personnel-related costs were $3.1 million for the three months ended June 30, 2022, which increased by 101% from $1.6 million for the three months ended June 30, 2021. Personnel-related costs were $ 5.2 million for the six months ended June 30, 2022, which increased by 60% from $3.2 million for the six months ended June 30, 2021. The average headcount increased 86% and 88%, respectively, for the three and six months ended June 30, 2022 as compared to the three and six months ended June 30, 2021. Stock-based compensation expenses for the U.S. increased $0.9 million and $0.8 million, respectively, for the three and six months ended June 30, 2022 as compared to the three and six months ended June 30, 2021.</w:t>
      </w:r>
    </w:p>
    <w:p>
      <w:pPr>
        <w:spacing w:after="0" w:line="20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expect marketing costs to decrease in absolute dollars but be a higher percentage of revenue next quarter due to fixed personnel-related costs.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Sales, General and Administrative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20" w:type="dxa"/>
            <w:vAlign w:val="bottom"/>
            <w:gridSpan w:val="6"/>
          </w:tcPr>
          <w:p>
            <w:pPr>
              <w:ind w:left="40"/>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5,267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18,495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10,803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4,514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55"/>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1,223</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88"/>
        </w:trPr>
        <w:tc>
          <w:tcPr>
            <w:tcW w:w="2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Payment processing</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4,481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3,826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4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4,554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3,717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4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168"/>
        </w:trPr>
        <w:tc>
          <w:tcPr>
            <w:tcW w:w="21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sales, general and</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administrative</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6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10,999</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32,044</w:t>
            </w:r>
          </w:p>
        </w:tc>
        <w:tc>
          <w:tcPr>
            <w:tcW w:w="8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21,637</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10,407</w:t>
            </w: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expenses</w:t>
            </w:r>
          </w:p>
        </w:tc>
        <w:tc>
          <w:tcPr>
            <w:tcW w:w="2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62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Sales, general and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tcPr>
          <w:p>
            <w:pPr>
              <w:ind w:left="180"/>
              <w:spacing w:after="0" w:line="189" w:lineRule="exact"/>
              <w:rPr>
                <w:sz w:val="20"/>
                <w:szCs w:val="20"/>
                <w:color w:val="auto"/>
              </w:rPr>
            </w:pPr>
            <w:r>
              <w:rPr>
                <w:rFonts w:ascii="Arial" w:cs="Arial" w:eastAsia="Arial" w:hAnsi="Arial"/>
                <w:sz w:val="18"/>
                <w:szCs w:val="18"/>
                <w:color w:val="auto"/>
              </w:rPr>
              <w:t>administrative as % of</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Sales, general and administrative expenses increased 58% for the three months ended June 30, 2022 as compared to the three months ended June 30, 2021. Sales, general and administrative expense increased 48% for the six months ended June 30, 2022 as compared to the six months ended June 30, 2021. The increases for both comparative periods was mainly the result of investments, primarily in personnel and, to a lesser extent, professional services costs, made towards scaling our business and improving our processes as a public company.</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Personnel-related costs were $11.1 million for the three months ended June 30, 2022, which increased by 111% from $5.3 million for the three months ended June 30, 2021. Personnel-related costs were $18.5 million for the six months ended June 30, 2022, which increased by 71% from $10.8 million for the six months ended June 30, 2021. The average headcount increased 97% and 91%, respectively, for the three and six months ended June 30, 2022 as compared to the three and six months ended June 30, 2021.</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Professional services costs were $2.0 million for the three months ended June 30, 2022, which increased 38% from $1.5 million compared to the three months ended June 30, 2021 primarily due to the inclusion of our European operations increase in legal fees and customer support services. Professional services costs were $4.5 million for the six months ended June 30, 2022, which increased 37% from $3.3 million compared to the six months ended June 30, 2021 due to an increase of $0.5 million in legal services, the inclusion of our European operations and a general increase in services including customer support and other services.</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Payment processing fees were $ 2.3 million for the three months ended June 30, 2022, which increased 12% from $2.0 million for the three months ended June 30, 2021. The increase was mainly due to the 27% increase in overall sales partially offset by lower payment processing rate in our European operations. Payment processing fees were $4.5 million for the six months ended June 30, 2022, which increased 17% from $3.8 million for the six months ended June 30, 2021. The increase was mainly due to the 29% increase in overall revenue, partially offset by lower payment processing rate in our European operations.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expenses were $2.0 million for the three months ended June 30, 2022, a decrease of 12% from $2.2 million for the three months ended June 30, 2021, primarily driven by a decrease in sales &amp; use tax reserves and payroll service fees. Other expenses were $4.6 million for the six months ended June 30, 2022, an increase of 23% from $3.7 million for the six months ended June 30, 2021, primarily driven by higher insurance premiums associated with our public company status.</w:t>
      </w:r>
    </w:p>
    <w:p>
      <w:pPr>
        <w:spacing w:after="0" w:line="20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expect sales, general and administrative costs to decrease in absolute dollars but be a higher percentage of revenue next quarter due to fixed corporate overhead costs.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June 30, 2022, we had cash, cash equivalents and short-term marketable securities of $148.5 million. We have generated negative cash flows from operations and have primarily financed our operations through private and public sales of equity securities and debt. Additionally, we have a term loan facility with Western Alliance Bank (the “Term Loan”) for which we have drawn $40.0 million and repaid $8.0 million, with $32.0 million outstanding as of June 30, 2022. In July 2022, we entered into a Second Amended and Restated Loan and Security Agreement, which amends and restates the Term Loan to, among other things, increase the aggregate borrowing ability to $70.0 million, reduce the applicable margin for borrowings under the Term Loan to the prime rate published in the Wall Street Journal plus a margin of 1.25% with a floor of 6.00% and extend the maturity date of the outstanding Term Loan to July 14, 2027.</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expect operating losses and negative cash flows from operations to continue into the foreseeable future as we continue to invest in growing our business and expanding our infrastructure. Our primary use of cash includes operating costs such as processing center and distribution center spend, product and technology expenses, marketing expenses, personnel expenses and other expenditures necessary to support our operations and our growth. Additionally, our primary capital expenditures are related to the set-up, expansion and/or automation of our processing centers and distribution centers and may be accelerated or delayed based on our operating position and needs of the Company. Based upon our current operating plans, we believe that our existing cash, cash equivalents and short-term marketable securities will be sufficient to meet our short-term and long-term capital requirements. Our forecast of the period of time through which our financial resources will be adequate to support our operations is a forward-looking statement that involves risks and uncertainties, and actual results could vary materially.</w:t>
      </w:r>
    </w:p>
    <w:p>
      <w:pPr>
        <w:spacing w:after="0" w:line="2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 and overall economic conditions. We may seek additional equity or debt financing. If we raise equity financing, our stockholders may experience significant dilution of their ownership interests. If we conduct an additional debt financing, the terms of such debt financing may be similar or more restrictive than our current term loan facility, and we would have additional debt service obligations. In the event that additional financing is required from outside sources, we may not be able to raise it on terms acceptable to us or at all. If we are unable to raise additional capital when desired, our business, financial condition and results of operations could be harmed.</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gridSpan w:val="3"/>
          </w:tcPr>
          <w:p>
            <w:pPr>
              <w:jc w:val="center"/>
              <w:ind w:left="578"/>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(24,835)</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(66,417)</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184,081</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5500" w:type="dxa"/>
            <w:vAlign w:val="bottom"/>
          </w:tcPr>
          <w:p>
            <w:pPr>
              <w:ind w:left="20"/>
              <w:spacing w:after="0" w:line="168" w:lineRule="exact"/>
              <w:rPr>
                <w:sz w:val="20"/>
                <w:szCs w:val="20"/>
                <w:color w:val="auto"/>
              </w:rPr>
            </w:pPr>
            <w:r>
              <w:rPr>
                <w:rFonts w:ascii="Arial" w:cs="Arial" w:eastAsia="Arial" w:hAnsi="Arial"/>
                <w:sz w:val="18"/>
                <w:szCs w:val="18"/>
                <w:color w:val="auto"/>
              </w:rPr>
              <w:t>Net increase (decrease) in cash, cash equivalents and restricted</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(32,452)</w:t>
            </w:r>
          </w:p>
        </w:tc>
        <w:tc>
          <w:tcPr>
            <w:tcW w:w="100" w:type="dxa"/>
            <w:vAlign w:val="bottom"/>
          </w:tcPr>
          <w:p>
            <w:pPr>
              <w:spacing w:after="0"/>
              <w:rPr>
                <w:sz w:val="14"/>
                <w:szCs w:val="14"/>
                <w:color w:val="auto"/>
              </w:rPr>
            </w:pPr>
          </w:p>
        </w:tc>
        <w:tc>
          <w:tcPr>
            <w:tcW w:w="640" w:type="dxa"/>
            <w:vAlign w:val="bottom"/>
            <w:vMerge w:val="restart"/>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108,574</w:t>
            </w:r>
          </w:p>
        </w:tc>
        <w:tc>
          <w:tcPr>
            <w:tcW w:w="0" w:type="dxa"/>
            <w:vAlign w:val="bottom"/>
          </w:tcPr>
          <w:p>
            <w:pPr>
              <w:spacing w:after="0"/>
              <w:rPr>
                <w:sz w:val="1"/>
                <w:szCs w:val="1"/>
                <w:color w:val="auto"/>
              </w:rPr>
            </w:pPr>
          </w:p>
        </w:tc>
      </w:tr>
      <w:tr>
        <w:trPr>
          <w:trHeight w:val="208"/>
        </w:trPr>
        <w:tc>
          <w:tcPr>
            <w:tcW w:w="5500" w:type="dxa"/>
            <w:vAlign w:val="bottom"/>
          </w:tcPr>
          <w:p>
            <w:pPr>
              <w:ind w:left="180"/>
              <w:spacing w:after="0" w:line="203" w:lineRule="exact"/>
              <w:rPr>
                <w:sz w:val="20"/>
                <w:szCs w:val="20"/>
                <w:color w:val="auto"/>
              </w:rPr>
            </w:pPr>
            <w:r>
              <w:rPr>
                <w:rFonts w:ascii="Arial" w:cs="Arial" w:eastAsia="Arial" w:hAnsi="Arial"/>
                <w:sz w:val="18"/>
                <w:szCs w:val="18"/>
                <w:color w:val="auto"/>
              </w:rPr>
              <w:t>cash</w:t>
            </w:r>
          </w:p>
        </w:tc>
        <w:tc>
          <w:tcPr>
            <w:tcW w:w="40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Cash Flow from Operating Activities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six months ended June 30, 2022, net cash used in operating activities was $24.8 million, which consisted of a net loss of $ 49.1 million, partially offset by non-cash charges of $24.3 million. The cash flow decrease in operating assets and liabilities was primarily due to a $4.7 million increase in inventory to support seasonal sales for our European operations and to support business growth. We also experienced a $1.5 million increase in prepaid expenses for insurance, software and other expenses. Offsetting these cash flow decreases was a $6.2 million increase in accounts payable, accrued and other current liabilities and seller payable flows due to payment timing, increased sales and higher operating expenses as we grow our business.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six months ended June 30, 2021, net cash used in operating activities was $9.1 million, which consisted of a net loss of $ 30.6 million, partially offset by non-cash charges of $13.9 million and a net change of $7.6 million in our operating assets and liabilities. The change in operating assets and liabilities is due to an $8.2 million increase in accrued and other current liabilities, primarily resulting from an increase in accrued marketing and accrued compensation, a $3.0 million increase in seller payable due to the timing of payments, a $2.7 million increase in accounts payable due to the timing of payments and higher operating expenses as we grow our business. These changes were partially offset by a $3.4 million increase in other current and non-current assets resulting from an increase in prepaid insurance, a reduction in operating lease liabilities of $2.3 million resulting from the payment of leases, and a $0.8 million increase in net inventory.</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Cash Flow from Investing Activities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six months ended June 30, 2022, net cash used in investing activities was $4.8 million, which was driven by $27.6 million of capital expenditures primarily for our new distribution centers and $3.5 million purchases of marketable securities, partially offset by $26.3 million in maturities of marketable securities.</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the six months ended June 30, 2021, net cash used in investing activities was $ 66.4 million, which was driven by $57.4 million in new purchases of marketable securities and $9.0 million of capital expenditures primarily for our distribution centers.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Cash Flow from Financing Activities</w:t>
      </w:r>
    </w:p>
    <w:p>
      <w:pPr>
        <w:spacing w:after="0" w:line="13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For the six months ended June 30, 2022, net cash used in financing activities was $2.3 million, which consisted mainly of $4.0 million in debt repayment, partially offset by $1.7 million in proceeds from the exercise of common stock options and employee stock purchases.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six months ended June 30, 2021, net cash provided by financing activities was $184.1 million, which consisted mainly of $180.3 million in net proceeds from the sale of Class A common stock in our IPO, $4.6 million in net debt financing proceeds, and $2.8 million from the exercise of common stock options. This was partially offset by $3.6 million in offering costs for the IPO.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condensed consolidated financial statements requires us to make judgments and estimates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have been no significant changes to our critical accounting policies since December 31, 2021. For a description of critical accounting policies that affect our significant judgments and estimates used in the preparation of our unaudited condensed consolidated financial statements, refer to the section titled “Management’s Discussion and Analysis of Financial Condition and Results of Operations” included in our Annual Report on Form 10-K filed with the SEC on March 22,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See discussion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information on new accounting pronouncements.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June 30, 2022, we had unrestricted cash and cash equivalents of $52.2 million and marketable securities of $ 96.3 million, consisting primarily of money market funds, corporate debt securities, commercial paper, U.S. treasury securities and U.S. government agency bonds, which carry a degree of interest rate risk. Fluctuations in interest rates have not been significant to date.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to intermediate term nature of our investments, we have not been exposed to, nor do we anticipate being exposed to, material risks due to changes in interest rates. Fluctuations in interest rates have not been significant to date.</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rates under our loan and security agreement with Western Alliance Bank are tied to the prime rate with a floor of 5.50% and therefore carry interest rate risk. As of June 30, 2022, we had borrowed $40.0 million under our loan and security agreement, with $ 32.0 million principal outstanding as of such date, at an interest rate of 6.25%. Fluctuations in interest rates have not been significant to date. See Note 14, Subsequent Events for discussion of our loan amendment and impact on interest rates effective July 14, 2022.</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hypothetical 100 basis point change in interest rates would not have a material impact on our financial condition or results of operations for the periods presented.</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 Risk</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recent months, inflation has increased significantly in the United States and overseas where we conduct our business, resulting in rising interest rates, fuel, wages, freight and other costs. We do not believe that inflation has had a material effect on our business, financial condition, or results of operations to date. However, these increases could negatively impact our business by driving up our operating and borrowing costs. In addition, the effect of inflation on consumers’ budgets could result in a decrease in our customers’ spending. If we are unable to increase our prices to sufficiently offset the rising costs of doing business, our profitability and financial position could be adversely impacted.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transact business in Europe through Remix in multiple currencies. As a result, our operating results, cash flows and net investment in Remix are subject to fluctuations due to changes in foreign currency exchange rates. As of June 30, 2022, our most significant currency exposure was the Bulgarian lev (BGN).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Assets and liabilities of our foreign operations are translated into dollars at period-end rates, while income and expenses are translated using the average exchange rate during the period in which the transactions occurred. The related translation adjustments are reflected as a negative foreign currency translation adjustment of $3.0 million impacting equity for the six months ended June 30, 2022 in accumulated other comprehensive loss.</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hypothetical 10% change in foreign currency exchange rates would not have had a material impact on our financial condition or results of operations during any of the periods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 Further, no evaluation of control can provide absolute assurance that misstatements due to error or fraud will not occur or that all control issues and instances of fraud, if any, within the Company have been detected.</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Because of the material weakness in our internal control over financial reporting discussed below, our Chief Executive Officer and Chief Financial Officer concluded that, as of June 30, 2022, our disclosure controls and procedures were not effective. In light of this fact, our management, including our Chief Executive Officer and Chief Financial Officer, has performed additional reconciliations and other post-closing procedures and has concluded that, notwithstanding the material weakness in our internal control over financial reporting, the unaudited interim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Previously Reported Material Weaknesses in Internal Control Over Financial Reporting</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previously disclosed in our Annual Report on Form 10-K filed with the SEC on March 22, 2022, in connection with the audit of our financial statements for the fiscal years ended December 31, 2021, 2020, 2019 and 2018 we and our independent registered public accounting firm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material weakness related to the following control deficiencies:</w:t>
      </w:r>
    </w:p>
    <w:p>
      <w:pPr>
        <w:spacing w:after="0" w:line="117" w:lineRule="exact"/>
        <w:rPr>
          <w:sz w:val="20"/>
          <w:szCs w:val="20"/>
          <w:color w:val="auto"/>
        </w:rPr>
      </w:pPr>
    </w:p>
    <w:p>
      <w:pPr>
        <w:jc w:val="both"/>
        <w:ind w:left="66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9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deficiencies described above, if not remediated, could result in a misstatement of one or more account balances or disclosures in our annual or interim consolidated financial statements that would not be prevented or detected, and, accordingly, we determined that these control deficiencies constitute a material weakness.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Remediation Plans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address our material weakness, we have added accounting, finance and information technology personnel and implemented new financial accounting processes. We are continuing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the controls have been operating effectively for a sufficient period of time.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as described above. Except as described above, there was not any change in our internal control over financial reporting (as such term is defined in Rules 13a-15(f) and 15d-15(f) under the Exchange Act) during our most recent fiscal quarter that has materially affected, or is reasonably likely to materially affect, our internal control over financial reporting. We are continually monitoring and assessing the COVID-19 situation on our internal controls to minimize the impact on their design and operating effectiveness.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is supplementing the risk factors previously disclosed in the section titled “Risk Factors” in Part I, Item 1A of our Annual Report on Form 10-K for the fiscal year ended December 31, 2021 filed with the SEC on March 22, 2022 (our “Fiscal 2021 10-K”) to include the following risk factors, which should be read in conjunction with the other risk factors presented in our Fiscal 2021 10-K.</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Our international operations may subject us to exchange rate fluctuations and other currency risks.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Assets, liabilities, revenues and related expenses of our international operations are denominated in foreign currencies. Exchange rate fluctuations between a local currency and the U.S. dollar may negatively impact the financial conditions and operating results of our international operations when converted into U.S. dollars. In addition, the relative change in currency values creates fluctuations in product pricing for foreign end-customers, which may result in lost orders and reduce the competitiveness of our products in certain foreign markets. The reduction of our revenue as a result of exchange rate fluctuations could negatively impact our future growth prospects, results of operations and financial condition.</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 may not realize expected savings or benefits from restructuring activities.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entered into restructuring activities and may enter into such initiatives in the future to improve our operations, respond to changes in business conditions and markets and to streamline certain key functions to reduce costs. We may not realize expected savings or benefits from restructuring activities, incur additional restructuring charges and experience loss of key personnel, disruptions in our operations, and difficulties in the timely delivery of products. These factors could negatively impact our business, results of operations and financial condition.</w:t>
      </w:r>
    </w:p>
    <w:p>
      <w:pPr>
        <w:spacing w:after="0" w:line="295"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i w:val="1"/>
          <w:iCs w:val="1"/>
          <w:color w:val="auto"/>
        </w:rPr>
        <w:t>Recent increases in interest rates and volatility in the capital markets may increase our borrowing costs and affect our ability to raise additional funds.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relied in part on borrowed funds to meet our liquidity needs and fund our operations and may continue to do so in the future. In July 2022, we entered into a Second Amended and Restated Loan and Security Agreement to, among other things, increase our aggregate borrowing ability to $70.0 million, reduce the applicable margin for borrowings under the Term Loan to the prime rate published in The Wall Street Journal plus a margin of 1.25% with a floor of 6.00% and extend the maturity date of the outstanding Term Loan to July 14, 2027. Continued increases in interest rates will increase the cost of servicing our outstanding indebtedness as well as the cost of any new indebtedness we may incur, including as a result of any future refinancings, and could negatively impact our business, results of operations and financial condition. In addition, uncertainty and volatility in the capital markets and other factors may negatively impact our access to debt and equity financing and such financing may not be available on terms favorable to us or at all. If we are unable to obtain adequate financing or financing on terms satisfactory to us, we could face significant limitations on our ability to invest in our operations and otherwise suffer harm to our business.</w:t>
      </w:r>
    </w:p>
    <w:p>
      <w:pPr>
        <w:spacing w:after="0" w:line="2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13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jc w:val="both"/>
        <w:ind w:left="660" w:hanging="328"/>
        <w:spacing w:after="0" w:line="252"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There has been no material change in the planned use of proceeds from the IPO as disclosed in our final prospectus filed pursuant to Rule 424(b) on March 26, 2021.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On August 2, 2021, the Company issued and sold 2,000,000 shares of Class A common stock at a price of $24.25 per share in a registered public offering. The aggregate net proceeds were $45.5 million, after deducting $ 3.3 million of underwriting discounts and commissions and offering costs. There has been no material change in the planned use of proceeds from the registered public offering completed in August 2021.</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None.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39"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Incorporation by Reference</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20" w:type="dxa"/>
            <w:vAlign w:val="bottom"/>
            <w:gridSpan w:val="13"/>
            <w:vMerge w:val="restart"/>
          </w:tcPr>
          <w:p>
            <w:pPr>
              <w:ind w:left="1080"/>
              <w:spacing w:after="0"/>
              <w:rPr>
                <w:sz w:val="20"/>
                <w:szCs w:val="20"/>
                <w:color w:val="auto"/>
              </w:rPr>
            </w:pPr>
            <w:r>
              <w:rPr>
                <w:rFonts w:ascii="Arial" w:cs="Arial" w:eastAsia="Arial" w:hAnsi="Arial"/>
                <w:sz w:val="14"/>
                <w:szCs w:val="14"/>
                <w:b w:val="1"/>
                <w:bCs w:val="1"/>
                <w:color w:val="auto"/>
              </w:rPr>
              <w:t>Exhibit Title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13"/>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16"/>
            <w:shd w:val="clear" w:color="auto" w:fill="CCEEFF"/>
          </w:tcPr>
          <w:p>
            <w:pPr>
              <w:spacing w:after="0" w:line="182" w:lineRule="exact"/>
              <w:rPr>
                <w:rFonts w:ascii="Arial" w:cs="Arial" w:eastAsia="Arial" w:hAnsi="Arial"/>
                <w:sz w:val="18"/>
                <w:szCs w:val="18"/>
                <w:color w:val="0000FF"/>
              </w:rPr>
            </w:pPr>
            <w:hyperlink r:id="rId48">
              <w:r>
                <w:rPr>
                  <w:rFonts w:ascii="Arial" w:cs="Arial" w:eastAsia="Arial" w:hAnsi="Arial"/>
                  <w:sz w:val="18"/>
                  <w:szCs w:val="18"/>
                  <w:color w:val="0000FF"/>
                </w:rPr>
                <w:t>Amended  and  Restated  Certificate  of  Incorporation  of  the</w:t>
              </w:r>
            </w:hyperlink>
          </w:p>
        </w:tc>
        <w:tc>
          <w:tcPr>
            <w:tcW w:w="1080" w:type="dxa"/>
            <w:vAlign w:val="bottom"/>
            <w:gridSpan w:val="2"/>
            <w:shd w:val="clear" w:color="auto" w:fill="CCEEFF"/>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2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333-253834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3.2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3/3/2021</w:t>
            </w: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Registrant</w:t>
              </w:r>
              <w:r>
                <w:rPr>
                  <w:rFonts w:ascii="Arial" w:cs="Arial" w:eastAsia="Arial" w:hAnsi="Arial"/>
                  <w:sz w:val="18"/>
                  <w:szCs w:val="18"/>
                  <w:color w:val="000000"/>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gridSpan w:val="16"/>
          </w:tcPr>
          <w:p>
            <w:pPr>
              <w:spacing w:after="0" w:line="189" w:lineRule="exact"/>
              <w:rPr>
                <w:rFonts w:ascii="Arial" w:cs="Arial" w:eastAsia="Arial" w:hAnsi="Arial"/>
                <w:sz w:val="18"/>
                <w:szCs w:val="18"/>
                <w:color w:val="0000FF"/>
              </w:rPr>
            </w:pPr>
            <w:hyperlink r:id="rId49">
              <w:r>
                <w:rPr>
                  <w:rFonts w:ascii="Arial" w:cs="Arial" w:eastAsia="Arial" w:hAnsi="Arial"/>
                  <w:sz w:val="18"/>
                  <w:szCs w:val="18"/>
                  <w:color w:val="0000FF"/>
                </w:rPr>
                <w:t>Amended and Restated Bylaws of the Registrant.</w:t>
              </w:r>
            </w:hyperlink>
          </w:p>
        </w:tc>
        <w:tc>
          <w:tcPr>
            <w:tcW w:w="108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9"/>
              </w:rPr>
              <w:t>S-1</w:t>
            </w: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16"/>
                <w:szCs w:val="16"/>
                <w:color w:val="auto"/>
              </w:rPr>
            </w:pP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5"/>
              </w:rPr>
              <w:t>3.4</w:t>
            </w:r>
          </w:p>
        </w:tc>
        <w:tc>
          <w:tcPr>
            <w:tcW w:w="80" w:type="dxa"/>
            <w:vAlign w:val="bottom"/>
          </w:tcPr>
          <w:p>
            <w:pPr>
              <w:spacing w:after="0"/>
              <w:rPr>
                <w:sz w:val="16"/>
                <w:szCs w:val="16"/>
                <w:color w:val="auto"/>
              </w:rPr>
            </w:pPr>
          </w:p>
        </w:tc>
        <w:tc>
          <w:tcPr>
            <w:tcW w:w="1060" w:type="dxa"/>
            <w:vAlign w:val="bottom"/>
          </w:tcPr>
          <w:p>
            <w:pPr>
              <w:ind w:left="180"/>
              <w:spacing w:after="0" w:line="189" w:lineRule="exact"/>
              <w:rPr>
                <w:sz w:val="20"/>
                <w:szCs w:val="20"/>
                <w:color w:val="auto"/>
              </w:rPr>
            </w:pPr>
            <w:r>
              <w:rPr>
                <w:rFonts w:ascii="Arial" w:cs="Arial" w:eastAsia="Arial" w:hAnsi="Arial"/>
                <w:sz w:val="18"/>
                <w:szCs w:val="18"/>
                <w:color w:val="auto"/>
              </w:rPr>
              <w:t>3/3/2021</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00" w:type="dxa"/>
            <w:vAlign w:val="bottom"/>
            <w:gridSpan w:val="16"/>
            <w:shd w:val="clear" w:color="auto" w:fill="CCEEFF"/>
          </w:tcPr>
          <w:p>
            <w:pPr>
              <w:spacing w:after="0" w:line="189" w:lineRule="exact"/>
              <w:rPr>
                <w:rFonts w:ascii="Arial" w:cs="Arial" w:eastAsia="Arial" w:hAnsi="Arial"/>
                <w:sz w:val="18"/>
                <w:szCs w:val="18"/>
                <w:color w:val="0000FF"/>
              </w:rPr>
            </w:pPr>
            <w:hyperlink r:id="rId50">
              <w:r>
                <w:rPr>
                  <w:rFonts w:ascii="Arial" w:cs="Arial" w:eastAsia="Arial" w:hAnsi="Arial"/>
                  <w:sz w:val="18"/>
                  <w:szCs w:val="18"/>
                  <w:color w:val="0000FF"/>
                </w:rPr>
                <w:t>Form of Class A common stock certificate of the Registrant.</w:t>
              </w:r>
            </w:hyperlink>
          </w:p>
        </w:tc>
        <w:tc>
          <w:tcPr>
            <w:tcW w:w="10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S-1</w:t>
            </w:r>
          </w:p>
        </w:tc>
        <w:tc>
          <w:tcPr>
            <w:tcW w:w="12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333-253834</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3/3/2021</w:t>
            </w: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gridSpan w:val="16"/>
          </w:tcPr>
          <w:p>
            <w:pPr>
              <w:spacing w:after="0" w:line="189" w:lineRule="exact"/>
              <w:rPr>
                <w:rFonts w:ascii="Arial" w:cs="Arial" w:eastAsia="Arial" w:hAnsi="Arial"/>
                <w:sz w:val="18"/>
                <w:szCs w:val="18"/>
                <w:color w:val="0000FF"/>
              </w:rPr>
            </w:pPr>
            <w:hyperlink r:id="rId51">
              <w:r>
                <w:rPr>
                  <w:rFonts w:ascii="Arial" w:cs="Arial" w:eastAsia="Arial" w:hAnsi="Arial"/>
                  <w:sz w:val="18"/>
                  <w:szCs w:val="18"/>
                  <w:color w:val="0000FF"/>
                </w:rPr>
                <w:t>Tenth Amended and Restated Investors’ Rights Agreement, dated</w:t>
              </w:r>
            </w:hyperlink>
          </w:p>
        </w:tc>
        <w:tc>
          <w:tcPr>
            <w:tcW w:w="108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9"/>
              </w:rPr>
              <w:t>S-1</w:t>
            </w: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16"/>
                <w:szCs w:val="16"/>
                <w:color w:val="auto"/>
              </w:rPr>
            </w:pP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6"/>
                <w:szCs w:val="16"/>
                <w:color w:val="auto"/>
              </w:rPr>
            </w:pPr>
          </w:p>
        </w:tc>
        <w:tc>
          <w:tcPr>
            <w:tcW w:w="1060" w:type="dxa"/>
            <w:vAlign w:val="bottom"/>
          </w:tcPr>
          <w:p>
            <w:pPr>
              <w:ind w:left="180"/>
              <w:spacing w:after="0" w:line="189" w:lineRule="exact"/>
              <w:rPr>
                <w:sz w:val="20"/>
                <w:szCs w:val="20"/>
                <w:color w:val="auto"/>
              </w:rPr>
            </w:pPr>
            <w:r>
              <w:rPr>
                <w:rFonts w:ascii="Arial" w:cs="Arial" w:eastAsia="Arial" w:hAnsi="Arial"/>
                <w:sz w:val="18"/>
                <w:szCs w:val="18"/>
                <w:color w:val="auto"/>
              </w:rPr>
              <w:t>3/3/2021</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February 16, 2021, by and among the Registrant and certain of its</w:t>
              </w:r>
            </w:hyperlink>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gridSpan w:val="16"/>
          </w:tcPr>
          <w:p>
            <w:pPr>
              <w:spacing w:after="0" w:line="169" w:lineRule="exact"/>
              <w:rPr>
                <w:rFonts w:ascii="Arial" w:cs="Arial" w:eastAsia="Arial" w:hAnsi="Arial"/>
                <w:sz w:val="18"/>
                <w:szCs w:val="18"/>
                <w:color w:val="0000FF"/>
              </w:rPr>
            </w:pPr>
            <w:hyperlink r:id="rId51">
              <w:r>
                <w:rPr>
                  <w:rFonts w:ascii="Arial" w:cs="Arial" w:eastAsia="Arial" w:hAnsi="Arial"/>
                  <w:sz w:val="18"/>
                  <w:szCs w:val="18"/>
                  <w:color w:val="0000FF"/>
                </w:rPr>
                <w:t>stockholders.</w:t>
              </w:r>
            </w:hyperlink>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31.1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Exchange</w:t>
            </w:r>
          </w:p>
        </w:tc>
        <w:tc>
          <w:tcPr>
            <w:tcW w:w="10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7"/>
              </w:rPr>
              <w:t>Filed</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340" w:type="dxa"/>
            <w:vAlign w:val="bottom"/>
            <w:tcBorders>
              <w:top w:val="single" w:sz="8" w:color="0000FF"/>
              <w:bottom w:val="single" w:sz="8" w:color="0000FF"/>
            </w:tcBorders>
            <w:gridSpan w:val="8"/>
            <w:shd w:val="clear" w:color="auto" w:fill="CCEEFF"/>
          </w:tcPr>
          <w:p>
            <w:pPr>
              <w:spacing w:after="0" w:line="157" w:lineRule="exact"/>
              <w:rPr>
                <w:sz w:val="20"/>
                <w:szCs w:val="20"/>
                <w:color w:val="auto"/>
              </w:rPr>
            </w:pPr>
            <w:r>
              <w:rPr>
                <w:rFonts w:ascii="Arial" w:cs="Arial" w:eastAsia="Arial" w:hAnsi="Arial"/>
                <w:sz w:val="18"/>
                <w:szCs w:val="18"/>
                <w:color w:val="0000FF"/>
              </w:rPr>
              <w:t>Act Rules 13a-14(a)  and  15d-14(a),  as  adopted  pursuant  to</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80" w:type="dxa"/>
            <w:vAlign w:val="bottom"/>
            <w:tcBorders>
              <w:top w:val="single" w:sz="8" w:color="CCEEFF"/>
              <w:bottom w:val="single" w:sz="8" w:color="CCEEFF"/>
            </w:tcBorders>
            <w:gridSpan w:val="2"/>
            <w:shd w:val="clear" w:color="auto" w:fill="CCEEFF"/>
          </w:tcPr>
          <w:p>
            <w:pPr>
              <w:jc w:val="center"/>
              <w:ind w:right="160"/>
              <w:spacing w:after="0" w:line="157" w:lineRule="exact"/>
              <w:rPr>
                <w:sz w:val="20"/>
                <w:szCs w:val="20"/>
                <w:color w:val="auto"/>
              </w:rPr>
            </w:pPr>
            <w:r>
              <w:rPr>
                <w:rFonts w:ascii="Arial" w:cs="Arial" w:eastAsia="Arial" w:hAnsi="Arial"/>
                <w:sz w:val="18"/>
                <w:szCs w:val="18"/>
                <w:color w:val="auto"/>
                <w:w w:val="99"/>
              </w:rPr>
              <w:t>herewith</w:t>
            </w: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0" w:type="dxa"/>
            <w:vAlign w:val="bottom"/>
            <w:gridSpan w:val="11"/>
            <w:shd w:val="clear" w:color="auto" w:fill="CCEEFF"/>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6"/>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gridSpan w:val="16"/>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Exchange</w:t>
            </w:r>
          </w:p>
        </w:tc>
        <w:tc>
          <w:tcPr>
            <w:tcW w:w="108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7"/>
              </w:rPr>
              <w:t>Filed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14"/>
          </w:tcPr>
          <w:p>
            <w:pPr>
              <w:spacing w:after="0" w:line="157" w:lineRule="exact"/>
              <w:rPr>
                <w:sz w:val="20"/>
                <w:szCs w:val="20"/>
                <w:color w:val="auto"/>
              </w:rPr>
            </w:pPr>
            <w:r>
              <w:rPr>
                <w:rFonts w:ascii="Arial" w:cs="Arial" w:eastAsia="Arial" w:hAnsi="Arial"/>
                <w:sz w:val="18"/>
                <w:szCs w:val="18"/>
                <w:color w:val="0000FF"/>
              </w:rPr>
              <w:t>Act Rules 13a-14(a)  and  15d-14(a),  as  adopted  pursuant  to</w:t>
            </w:r>
          </w:p>
        </w:tc>
        <w:tc>
          <w:tcPr>
            <w:tcW w:w="40" w:type="dxa"/>
            <w:vAlign w:val="bottom"/>
            <w:gridSpan w:val="2"/>
          </w:tcPr>
          <w:p>
            <w:pPr>
              <w:spacing w:after="0"/>
              <w:rPr>
                <w:sz w:val="13"/>
                <w:szCs w:val="13"/>
                <w:color w:val="auto"/>
              </w:rPr>
            </w:pPr>
          </w:p>
        </w:tc>
        <w:tc>
          <w:tcPr>
            <w:tcW w:w="1080" w:type="dxa"/>
            <w:vAlign w:val="bottom"/>
            <w:gridSpan w:val="2"/>
          </w:tcPr>
          <w:p>
            <w:pPr>
              <w:jc w:val="center"/>
              <w:ind w:right="160"/>
              <w:spacing w:after="0" w:line="157" w:lineRule="exact"/>
              <w:rPr>
                <w:sz w:val="20"/>
                <w:szCs w:val="20"/>
                <w:color w:val="auto"/>
              </w:rPr>
            </w:pPr>
            <w:r>
              <w:rPr>
                <w:rFonts w:ascii="Arial" w:cs="Arial" w:eastAsia="Arial" w:hAnsi="Arial"/>
                <w:sz w:val="18"/>
                <w:szCs w:val="18"/>
                <w:color w:val="auto"/>
                <w:w w:val="99"/>
              </w:rPr>
              <w:t>herewith</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18 U.S.C.</w:t>
            </w:r>
          </w:p>
        </w:tc>
        <w:tc>
          <w:tcPr>
            <w:tcW w:w="10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Furnished</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20" w:type="dxa"/>
            <w:vAlign w:val="bottom"/>
            <w:tcBorders>
              <w:top w:val="single" w:sz="8" w:color="0000FF"/>
            </w:tcBorders>
            <w:gridSpan w:val="12"/>
            <w:shd w:val="clear" w:color="auto" w:fill="CCEEFF"/>
          </w:tcPr>
          <w:p>
            <w:pPr>
              <w:spacing w:after="0" w:line="157" w:lineRule="exact"/>
              <w:rPr>
                <w:sz w:val="20"/>
                <w:szCs w:val="20"/>
                <w:color w:val="auto"/>
              </w:rPr>
            </w:pPr>
            <w:r>
              <w:rPr>
                <w:rFonts w:ascii="Arial" w:cs="Arial" w:eastAsia="Arial" w:hAnsi="Arial"/>
                <w:sz w:val="18"/>
                <w:szCs w:val="18"/>
                <w:color w:val="0000FF"/>
              </w:rPr>
              <w:t>Section  1350,  as  adopted  pursuant  to  Section  906  of  the</w:t>
            </w:r>
          </w:p>
        </w:tc>
        <w:tc>
          <w:tcPr>
            <w:tcW w:w="80" w:type="dxa"/>
            <w:vAlign w:val="bottom"/>
            <w:tcBorders>
              <w:top w:val="single" w:sz="8" w:color="CCEEFF"/>
            </w:tcBorders>
            <w:gridSpan w:val="4"/>
            <w:shd w:val="clear" w:color="auto" w:fill="CCEEFF"/>
          </w:tcPr>
          <w:p>
            <w:pPr>
              <w:spacing w:after="0"/>
              <w:rPr>
                <w:sz w:val="13"/>
                <w:szCs w:val="13"/>
                <w:color w:val="auto"/>
              </w:rPr>
            </w:pPr>
          </w:p>
        </w:tc>
        <w:tc>
          <w:tcPr>
            <w:tcW w:w="1080" w:type="dxa"/>
            <w:vAlign w:val="bottom"/>
            <w:tcBorders>
              <w:top w:val="single" w:sz="8" w:color="CCEEFF"/>
            </w:tcBorders>
            <w:gridSpan w:val="2"/>
            <w:shd w:val="clear" w:color="auto" w:fill="CCEEFF"/>
          </w:tcPr>
          <w:p>
            <w:pPr>
              <w:jc w:val="center"/>
              <w:ind w:right="160"/>
              <w:spacing w:after="0" w:line="157" w:lineRule="exact"/>
              <w:rPr>
                <w:sz w:val="20"/>
                <w:szCs w:val="20"/>
                <w:color w:val="auto"/>
              </w:rPr>
            </w:pPr>
            <w:r>
              <w:rPr>
                <w:rFonts w:ascii="Arial" w:cs="Arial" w:eastAsia="Arial" w:hAnsi="Arial"/>
                <w:sz w:val="18"/>
                <w:szCs w:val="18"/>
                <w:color w:val="auto"/>
                <w:w w:val="99"/>
              </w:rPr>
              <w:t>herewith</w:t>
            </w:r>
          </w:p>
        </w:tc>
        <w:tc>
          <w:tcPr>
            <w:tcW w:w="1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380" w:type="dxa"/>
            <w:vAlign w:val="bottom"/>
            <w:tcBorders>
              <w:top w:val="single" w:sz="8" w:color="0000FF"/>
            </w:tcBorders>
            <w:gridSpan w:val="10"/>
            <w:shd w:val="clear" w:color="auto" w:fill="CCEEFF"/>
          </w:tcPr>
          <w:p>
            <w:pPr>
              <w:spacing w:after="0" w:line="169" w:lineRule="exact"/>
              <w:rPr>
                <w:sz w:val="20"/>
                <w:szCs w:val="20"/>
                <w:color w:val="auto"/>
              </w:rPr>
            </w:pPr>
            <w:r>
              <w:rPr>
                <w:rFonts w:ascii="Arial" w:cs="Arial" w:eastAsia="Arial" w:hAnsi="Arial"/>
                <w:sz w:val="18"/>
                <w:szCs w:val="18"/>
                <w:color w:val="0000FF"/>
              </w:rPr>
              <w:t>Sarbanes-Oxley Act of 2002.</w:t>
            </w:r>
          </w:p>
        </w:tc>
        <w:tc>
          <w:tcPr>
            <w:tcW w:w="120" w:type="dxa"/>
            <w:vAlign w:val="bottom"/>
            <w:tcBorders>
              <w:top w:val="single" w:sz="8" w:color="CCEEFF"/>
            </w:tcBorders>
            <w:gridSpan w:val="6"/>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9"/>
              </w:rPr>
              <w:t>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gridSpan w:val="16"/>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18 U.S.C.</w:t>
            </w:r>
          </w:p>
        </w:tc>
        <w:tc>
          <w:tcPr>
            <w:tcW w:w="108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9"/>
              </w:rPr>
              <w:t>Furnished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9"/>
          </w:tcPr>
          <w:p>
            <w:pPr>
              <w:spacing w:after="0" w:line="157" w:lineRule="exact"/>
              <w:rPr>
                <w:sz w:val="20"/>
                <w:szCs w:val="20"/>
                <w:color w:val="auto"/>
              </w:rPr>
            </w:pPr>
            <w:r>
              <w:rPr>
                <w:rFonts w:ascii="Arial" w:cs="Arial" w:eastAsia="Arial" w:hAnsi="Arial"/>
                <w:sz w:val="18"/>
                <w:szCs w:val="18"/>
                <w:color w:val="0000FF"/>
              </w:rPr>
              <w:t>Section  1350,  as  adopted  pursuant  to  Section  906  of  the</w:t>
            </w:r>
          </w:p>
        </w:tc>
        <w:tc>
          <w:tcPr>
            <w:tcW w:w="140" w:type="dxa"/>
            <w:vAlign w:val="bottom"/>
            <w:gridSpan w:val="7"/>
          </w:tcPr>
          <w:p>
            <w:pPr>
              <w:spacing w:after="0"/>
              <w:rPr>
                <w:sz w:val="13"/>
                <w:szCs w:val="13"/>
                <w:color w:val="auto"/>
              </w:rPr>
            </w:pPr>
          </w:p>
        </w:tc>
        <w:tc>
          <w:tcPr>
            <w:tcW w:w="1080" w:type="dxa"/>
            <w:vAlign w:val="bottom"/>
            <w:gridSpan w:val="2"/>
          </w:tcPr>
          <w:p>
            <w:pPr>
              <w:jc w:val="center"/>
              <w:ind w:right="160"/>
              <w:spacing w:after="0" w:line="157" w:lineRule="exact"/>
              <w:rPr>
                <w:sz w:val="20"/>
                <w:szCs w:val="20"/>
                <w:color w:val="auto"/>
              </w:rPr>
            </w:pPr>
            <w:r>
              <w:rPr>
                <w:rFonts w:ascii="Arial" w:cs="Arial" w:eastAsia="Arial" w:hAnsi="Arial"/>
                <w:sz w:val="18"/>
                <w:szCs w:val="18"/>
                <w:color w:val="auto"/>
                <w:w w:val="99"/>
              </w:rPr>
              <w:t>herewith</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8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Sarbanes-Oxley Act of 2002.</w:t>
            </w:r>
          </w:p>
        </w:tc>
        <w:tc>
          <w:tcPr>
            <w:tcW w:w="120" w:type="dxa"/>
            <w:vAlign w:val="bottom"/>
            <w:gridSpan w:val="6"/>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16"/>
                <w:szCs w:val="16"/>
                <w:color w:val="auto"/>
              </w:rPr>
            </w:pPr>
          </w:p>
        </w:tc>
        <w:tc>
          <w:tcPr>
            <w:tcW w:w="55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rPr>
              <w:t>XBRL Instance Document – the instance document does not</w:t>
            </w:r>
          </w:p>
        </w:tc>
        <w:tc>
          <w:tcPr>
            <w:tcW w:w="10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7"/>
              </w:rPr>
              <w:t>Filed</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rPr>
              <w:t>appear in the Interactive Data File because its XBRL tags are</w:t>
            </w:r>
          </w:p>
        </w:tc>
        <w:tc>
          <w:tcPr>
            <w:tcW w:w="10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herewith</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5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20" w:type="dxa"/>
            <w:vAlign w:val="bottom"/>
            <w:gridSpan w:val="2"/>
          </w:tcPr>
          <w:p>
            <w:pPr>
              <w:jc w:val="center"/>
              <w:ind w:right="60"/>
              <w:spacing w:after="0" w:line="189" w:lineRule="exact"/>
              <w:rPr>
                <w:sz w:val="20"/>
                <w:szCs w:val="20"/>
                <w:color w:val="auto"/>
              </w:rPr>
            </w:pPr>
            <w:r>
              <w:rPr>
                <w:rFonts w:ascii="Arial" w:cs="Arial" w:eastAsia="Arial" w:hAnsi="Arial"/>
                <w:sz w:val="18"/>
                <w:szCs w:val="18"/>
                <w:color w:val="auto"/>
              </w:rPr>
              <w:t>101.SCH</w:t>
            </w:r>
          </w:p>
        </w:tc>
        <w:tc>
          <w:tcPr>
            <w:tcW w:w="20" w:type="dxa"/>
            <w:vAlign w:val="bottom"/>
          </w:tcPr>
          <w:p>
            <w:pPr>
              <w:spacing w:after="0"/>
              <w:rPr>
                <w:sz w:val="16"/>
                <w:szCs w:val="16"/>
                <w:color w:val="auto"/>
              </w:rPr>
            </w:pPr>
          </w:p>
        </w:tc>
        <w:tc>
          <w:tcPr>
            <w:tcW w:w="5500" w:type="dxa"/>
            <w:vAlign w:val="bottom"/>
            <w:gridSpan w:val="16"/>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108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7"/>
              </w:rPr>
              <w:t>Filed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herewith</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120" w:type="dxa"/>
            <w:vAlign w:val="bottom"/>
            <w:gridSpan w:val="2"/>
            <w:shd w:val="clear" w:color="auto" w:fill="CCEEFF"/>
          </w:tcPr>
          <w:p>
            <w:pPr>
              <w:jc w:val="center"/>
              <w:ind w:right="60"/>
              <w:spacing w:after="0" w:line="195" w:lineRule="exact"/>
              <w:rPr>
                <w:sz w:val="20"/>
                <w:szCs w:val="20"/>
                <w:color w:val="auto"/>
              </w:rPr>
            </w:pPr>
            <w:r>
              <w:rPr>
                <w:rFonts w:ascii="Arial" w:cs="Arial" w:eastAsia="Arial" w:hAnsi="Arial"/>
                <w:sz w:val="18"/>
                <w:szCs w:val="18"/>
                <w:color w:val="auto"/>
                <w:w w:val="99"/>
              </w:rPr>
              <w:t>101.CAL</w:t>
            </w:r>
          </w:p>
        </w:tc>
        <w:tc>
          <w:tcPr>
            <w:tcW w:w="20" w:type="dxa"/>
            <w:vAlign w:val="bottom"/>
            <w:shd w:val="clear" w:color="auto" w:fill="CCEEFF"/>
          </w:tcPr>
          <w:p>
            <w:pPr>
              <w:spacing w:after="0"/>
              <w:rPr>
                <w:sz w:val="16"/>
                <w:szCs w:val="16"/>
                <w:color w:val="auto"/>
              </w:rPr>
            </w:pPr>
          </w:p>
        </w:tc>
        <w:tc>
          <w:tcPr>
            <w:tcW w:w="5500" w:type="dxa"/>
            <w:vAlign w:val="bottom"/>
            <w:gridSpan w:val="16"/>
            <w:shd w:val="clear" w:color="auto" w:fill="CCEEFF"/>
          </w:tcPr>
          <w:p>
            <w:pPr>
              <w:spacing w:after="0" w:line="195" w:lineRule="exact"/>
              <w:rPr>
                <w:sz w:val="20"/>
                <w:szCs w:val="20"/>
                <w:color w:val="auto"/>
              </w:rPr>
            </w:pPr>
            <w:r>
              <w:rPr>
                <w:rFonts w:ascii="Arial" w:cs="Arial" w:eastAsia="Arial" w:hAnsi="Arial"/>
                <w:sz w:val="18"/>
                <w:szCs w:val="18"/>
                <w:color w:val="auto"/>
              </w:rPr>
              <w:t>Inline XBRL Taxonomy Extension Calculation Linkbase Document.</w:t>
            </w:r>
          </w:p>
        </w:tc>
        <w:tc>
          <w:tcPr>
            <w:tcW w:w="1080" w:type="dxa"/>
            <w:vAlign w:val="bottom"/>
            <w:gridSpan w:val="2"/>
            <w:shd w:val="clear" w:color="auto" w:fill="CCEEFF"/>
          </w:tcPr>
          <w:p>
            <w:pPr>
              <w:jc w:val="center"/>
              <w:ind w:right="140"/>
              <w:spacing w:after="0" w:line="195" w:lineRule="exact"/>
              <w:rPr>
                <w:sz w:val="20"/>
                <w:szCs w:val="20"/>
                <w:color w:val="auto"/>
              </w:rPr>
            </w:pPr>
            <w:r>
              <w:rPr>
                <w:rFonts w:ascii="Arial" w:cs="Arial" w:eastAsia="Arial" w:hAnsi="Arial"/>
                <w:sz w:val="18"/>
                <w:szCs w:val="18"/>
                <w:color w:val="auto"/>
                <w:w w:val="97"/>
              </w:rPr>
              <w:t>Filed</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herewith</w:t>
            </w: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20" w:type="dxa"/>
            <w:vAlign w:val="bottom"/>
            <w:gridSpan w:val="2"/>
          </w:tcPr>
          <w:p>
            <w:pPr>
              <w:jc w:val="center"/>
              <w:ind w:right="60"/>
              <w:spacing w:after="0" w:line="189" w:lineRule="exact"/>
              <w:rPr>
                <w:sz w:val="20"/>
                <w:szCs w:val="20"/>
                <w:color w:val="auto"/>
              </w:rPr>
            </w:pPr>
            <w:r>
              <w:rPr>
                <w:rFonts w:ascii="Arial" w:cs="Arial" w:eastAsia="Arial" w:hAnsi="Arial"/>
                <w:sz w:val="18"/>
                <w:szCs w:val="18"/>
                <w:color w:val="auto"/>
                <w:w w:val="98"/>
              </w:rPr>
              <w:t>101.DEF</w:t>
            </w:r>
          </w:p>
        </w:tc>
        <w:tc>
          <w:tcPr>
            <w:tcW w:w="20" w:type="dxa"/>
            <w:vAlign w:val="bottom"/>
          </w:tcPr>
          <w:p>
            <w:pPr>
              <w:spacing w:after="0"/>
              <w:rPr>
                <w:sz w:val="16"/>
                <w:szCs w:val="16"/>
                <w:color w:val="auto"/>
              </w:rPr>
            </w:pPr>
          </w:p>
        </w:tc>
        <w:tc>
          <w:tcPr>
            <w:tcW w:w="5500" w:type="dxa"/>
            <w:vAlign w:val="bottom"/>
            <w:gridSpan w:val="16"/>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108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7"/>
              </w:rPr>
              <w:t>Filed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herewith</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120" w:type="dxa"/>
            <w:vAlign w:val="bottom"/>
            <w:gridSpan w:val="2"/>
            <w:shd w:val="clear" w:color="auto" w:fill="CCEEFF"/>
          </w:tcPr>
          <w:p>
            <w:pPr>
              <w:jc w:val="center"/>
              <w:ind w:right="60"/>
              <w:spacing w:after="0" w:line="195" w:lineRule="exact"/>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16"/>
                <w:szCs w:val="16"/>
                <w:color w:val="auto"/>
              </w:rPr>
            </w:pPr>
          </w:p>
        </w:tc>
        <w:tc>
          <w:tcPr>
            <w:tcW w:w="5500" w:type="dxa"/>
            <w:vAlign w:val="bottom"/>
            <w:gridSpan w:val="16"/>
            <w:shd w:val="clear" w:color="auto" w:fill="CCEEFF"/>
          </w:tcPr>
          <w:p>
            <w:pPr>
              <w:spacing w:after="0" w:line="195" w:lineRule="exact"/>
              <w:rPr>
                <w:sz w:val="20"/>
                <w:szCs w:val="20"/>
                <w:color w:val="auto"/>
              </w:rPr>
            </w:pPr>
            <w:r>
              <w:rPr>
                <w:rFonts w:ascii="Arial" w:cs="Arial" w:eastAsia="Arial" w:hAnsi="Arial"/>
                <w:sz w:val="18"/>
                <w:szCs w:val="18"/>
                <w:color w:val="auto"/>
              </w:rPr>
              <w:t>Inline XBRL Taxonomy Extension Label Linkbase Document.</w:t>
            </w:r>
          </w:p>
        </w:tc>
        <w:tc>
          <w:tcPr>
            <w:tcW w:w="1080" w:type="dxa"/>
            <w:vAlign w:val="bottom"/>
            <w:gridSpan w:val="2"/>
            <w:shd w:val="clear" w:color="auto" w:fill="CCEEFF"/>
          </w:tcPr>
          <w:p>
            <w:pPr>
              <w:jc w:val="center"/>
              <w:ind w:right="140"/>
              <w:spacing w:after="0" w:line="195" w:lineRule="exact"/>
              <w:rPr>
                <w:sz w:val="20"/>
                <w:szCs w:val="20"/>
                <w:color w:val="auto"/>
              </w:rPr>
            </w:pPr>
            <w:r>
              <w:rPr>
                <w:rFonts w:ascii="Arial" w:cs="Arial" w:eastAsia="Arial" w:hAnsi="Arial"/>
                <w:sz w:val="18"/>
                <w:szCs w:val="18"/>
                <w:color w:val="auto"/>
                <w:w w:val="97"/>
              </w:rPr>
              <w:t>Filed</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herewith</w:t>
            </w: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2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16"/>
                <w:szCs w:val="16"/>
                <w:color w:val="auto"/>
              </w:rPr>
            </w:pPr>
          </w:p>
        </w:tc>
        <w:tc>
          <w:tcPr>
            <w:tcW w:w="5500" w:type="dxa"/>
            <w:vAlign w:val="bottom"/>
            <w:gridSpan w:val="16"/>
          </w:tcPr>
          <w:p>
            <w:pPr>
              <w:spacing w:after="0" w:line="189" w:lineRule="exact"/>
              <w:rPr>
                <w:sz w:val="20"/>
                <w:szCs w:val="20"/>
                <w:color w:val="auto"/>
              </w:rPr>
            </w:pPr>
            <w:r>
              <w:rPr>
                <w:rFonts w:ascii="Arial" w:cs="Arial" w:eastAsia="Arial" w:hAnsi="Arial"/>
                <w:sz w:val="18"/>
                <w:szCs w:val="18"/>
                <w:color w:val="auto"/>
              </w:rPr>
              <w:t>Inline   XBRL   Taxonomy   Extension   Presentation   Linkbase</w:t>
            </w:r>
          </w:p>
        </w:tc>
        <w:tc>
          <w:tcPr>
            <w:tcW w:w="108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7"/>
              </w:rPr>
              <w:t>Filed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herewith</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9"/>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gridSpan w:val="16"/>
          </w:tcPr>
          <w:p>
            <w:pPr>
              <w:spacing w:after="0" w:line="201" w:lineRule="exact"/>
              <w:rPr>
                <w:sz w:val="20"/>
                <w:szCs w:val="20"/>
                <w:color w:val="auto"/>
              </w:rPr>
            </w:pPr>
            <w:r>
              <w:rPr>
                <w:rFonts w:ascii="Arial" w:cs="Arial" w:eastAsia="Arial" w:hAnsi="Arial"/>
                <w:sz w:val="18"/>
                <w:szCs w:val="18"/>
                <w:color w:val="auto"/>
              </w:rPr>
              <w:t>Cover Page Interactive Data File (formatted as inline XBRL with</w:t>
            </w:r>
          </w:p>
        </w:tc>
        <w:tc>
          <w:tcPr>
            <w:tcW w:w="10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7"/>
              </w:rPr>
              <w:t>Filed</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gridSpan w:val="16"/>
          </w:tcPr>
          <w:p>
            <w:pPr>
              <w:spacing w:after="0" w:line="189" w:lineRule="exact"/>
              <w:rPr>
                <w:sz w:val="20"/>
                <w:szCs w:val="20"/>
                <w:color w:val="auto"/>
              </w:rPr>
            </w:pPr>
            <w:r>
              <w:rPr>
                <w:rFonts w:ascii="Arial" w:cs="Arial" w:eastAsia="Arial" w:hAnsi="Arial"/>
                <w:sz w:val="18"/>
                <w:szCs w:val="18"/>
                <w:color w:val="auto"/>
              </w:rPr>
              <w:t>applicable   taxonomy   extension   information   contained   in</w:t>
            </w:r>
          </w:p>
        </w:tc>
        <w:tc>
          <w:tcPr>
            <w:tcW w:w="108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9"/>
              </w:rPr>
              <w:t>herewith</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9429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00" w:lineRule="exact"/>
        <w:rPr>
          <w:sz w:val="20"/>
          <w:szCs w:val="20"/>
          <w:color w:val="auto"/>
        </w:rPr>
      </w:pPr>
    </w:p>
    <w:p>
      <w:pPr>
        <w:jc w:val="both"/>
        <w:ind w:left="340" w:hanging="332"/>
        <w:spacing w:after="0" w:line="254" w:lineRule="auto"/>
        <w:tabs>
          <w:tab w:leader="none" w:pos="32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THREDUP INC.</w:t>
      </w:r>
    </w:p>
    <w:p>
      <w:pPr>
        <w:spacing w:after="0" w:line="301"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22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 (“registrant”)</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71"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hanging="324"/>
        <w:spacing w:after="0" w:line="261" w:lineRule="auto"/>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ectPr>
          <w:pgSz w:w="11900" w:h="16838" w:orient="portrait"/>
          <w:cols w:equalWidth="0" w:num="1">
            <w:col w:w="11240"/>
          </w:cols>
          <w:pgMar w:left="320" w:top="76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22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 (“registrant”)</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7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hanging="324"/>
        <w:spacing w:after="0" w:line="261"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James Reinhart, Chief Executive Officer of ThredUp Inc. (the “Company”), do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29"/>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 Sean Sobers, Chief Financial Officer of ThredUp Inc. (the “Company”), do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6"/>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48" Type="http://schemas.openxmlformats.org/officeDocument/2006/relationships/hyperlink" Target="https://www.sec.gov/Archives/edgar/data/1484778/000162828021003857/exhibit32-sx1.htm" TargetMode="External"/><Relationship Id="rId49" Type="http://schemas.openxmlformats.org/officeDocument/2006/relationships/hyperlink" Target="https://www.sec.gov/Archives/edgar/data/1484778/000162828021003857/exhibit34-sx1.htm" TargetMode="External"/><Relationship Id="rId50" Type="http://schemas.openxmlformats.org/officeDocument/2006/relationships/hyperlink" Target="https://www.sec.gov/Archives/edgar/data/1484778/000162828021003857/exhibit41-sx1.htm" TargetMode="External"/><Relationship Id="rId51" Type="http://schemas.openxmlformats.org/officeDocument/2006/relationships/hyperlink" Target="https://www.sec.gov/Archives/edgar/data/1484778/000162828021003857/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2022-08-15T18:05:21Z</dcterms:created>
  <dcterms:modified xsi:type="dcterms:W3CDTF">2022-08-15T18:05:21Z</dcterms:modified>
</cp:coreProperties>
</file>