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8302.xml.htm"/>
      <w:bookmarkStart w:id="1" w:name="kswkform4_17883883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Sobers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THREDUP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969 BROADWAY,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ThredUp Inc.</w:t>
              </w:r>
            </w:hyperlink>
            <w:r>
              <w:rPr/>
              <w:t xml:space="preserve"> [ </w:t>
            </w:r>
            <w:r>
              <w:rPr>
                <w:rFonts w:ascii="Times;serif" w:hAnsi="Times;serif"/>
                <w:color w:val="0000FF"/>
                <w:sz w:val="24"/>
                <w:shd w:fill="FFFFFF" w:val="clear"/>
              </w:rPr>
              <w:t>TDUP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36,667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632,476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18,973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613,503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25,833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639,336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625,968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23,610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649,578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12,218</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637,360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36,667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427,761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401,928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378,318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RSUs.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26, 2024, the Reporting Person was granted 440,000 RSUs, vesting in twelve equal quarterly installments on June 1, September 1, December 1 and March 1 until fully vested, subject to the Reporting Person's continued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9, 2025, the Reporting Person was granted 310,000 RSUs, vesting in twelve equal quarterly installments on June 1, September 1, December 1 and March 1 until fully vested, subject to the Reporting Person's continued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28, 2026, the Reporting Person was granted 283,312 RSUs, vesting in twelve equal quarterly installments on June 1, September 1, December 1 and March 1 until fully vested, subject to the Reporting Person's continued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Alon Rotem,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472" TargetMode="External"/><Relationship Id="rId5" Type="http://schemas.openxmlformats.org/officeDocument/2006/relationships/hyperlink" Target="http://www.sec.gov/cgi-bin/browse-edgar?action=getcompany&amp;CIK=000148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4659</Characters>
  <CharactersWithSpaces>5400</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