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460" w:right="1640" w:hanging="3452"/>
        <w:spacing w:after="0" w:line="365" w:lineRule="auto"/>
        <w:tabs>
          <w:tab w:leader="none" w:pos="37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2200" w:right="1640" w:hanging="2192"/>
        <w:spacing w:after="0" w:line="375" w:lineRule="auto"/>
        <w:tabs>
          <w:tab w:leader="none" w:pos="37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____________________ to 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88900</wp:posOffset>
            </wp:positionV>
            <wp:extent cx="154305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ThredUp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Delaware</w:t>
            </w:r>
          </w:p>
        </w:tc>
        <w:tc>
          <w:tcPr>
            <w:tcW w:w="2480" w:type="dxa"/>
            <w:vAlign w:val="bottom"/>
          </w:tcPr>
          <w:p>
            <w:pPr>
              <w:spacing w:after="0"/>
              <w:rPr>
                <w:sz w:val="16"/>
                <w:szCs w:val="16"/>
                <w:color w:val="auto"/>
              </w:rPr>
            </w:pPr>
          </w:p>
        </w:tc>
        <w:tc>
          <w:tcPr>
            <w:tcW w:w="3920" w:type="dxa"/>
            <w:vAlign w:val="bottom"/>
            <w:gridSpan w:val="3"/>
          </w:tcPr>
          <w:p>
            <w:pPr>
              <w:jc w:val="right"/>
              <w:ind w:right="2348"/>
              <w:spacing w:after="0"/>
              <w:rPr>
                <w:sz w:val="20"/>
                <w:szCs w:val="20"/>
                <w:color w:val="auto"/>
              </w:rPr>
            </w:pPr>
            <w:r>
              <w:rPr>
                <w:rFonts w:ascii="Arial" w:cs="Arial" w:eastAsia="Arial" w:hAnsi="Arial"/>
                <w:sz w:val="14"/>
                <w:szCs w:val="14"/>
                <w:b w:val="1"/>
                <w:bCs w:val="1"/>
                <w:color w:val="auto"/>
              </w:rPr>
              <w:t>26-4009181</w:t>
            </w:r>
          </w:p>
        </w:tc>
        <w:tc>
          <w:tcPr>
            <w:tcW w:w="0" w:type="dxa"/>
            <w:vAlign w:val="bottom"/>
          </w:tcPr>
          <w:p>
            <w:pPr>
              <w:spacing w:after="0"/>
              <w:rPr>
                <w:sz w:val="1"/>
                <w:szCs w:val="1"/>
                <w:color w:val="auto"/>
              </w:rPr>
            </w:pPr>
          </w:p>
        </w:tc>
      </w:tr>
      <w:tr>
        <w:trPr>
          <w:trHeight w:val="203"/>
        </w:trPr>
        <w:tc>
          <w:tcPr>
            <w:tcW w:w="4840" w:type="dxa"/>
            <w:vAlign w:val="bottom"/>
            <w:gridSpan w:val="3"/>
          </w:tcPr>
          <w:p>
            <w:pPr>
              <w:jc w:val="center"/>
              <w:ind w:left="72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2480" w:type="dxa"/>
            <w:vAlign w:val="bottom"/>
          </w:tcPr>
          <w:p>
            <w:pPr>
              <w:spacing w:after="0"/>
              <w:rPr>
                <w:sz w:val="17"/>
                <w:szCs w:val="17"/>
                <w:color w:val="auto"/>
              </w:rPr>
            </w:pPr>
          </w:p>
        </w:tc>
        <w:tc>
          <w:tcPr>
            <w:tcW w:w="3920" w:type="dxa"/>
            <w:vAlign w:val="bottom"/>
            <w:gridSpan w:val="3"/>
          </w:tcPr>
          <w:p>
            <w:pPr>
              <w:jc w:val="center"/>
              <w:ind w:right="1628"/>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377"/>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969 Broadway, Suite 200</w:t>
            </w:r>
          </w:p>
        </w:tc>
        <w:tc>
          <w:tcPr>
            <w:tcW w:w="2480" w:type="dxa"/>
            <w:vAlign w:val="bottom"/>
          </w:tcPr>
          <w:p>
            <w:pPr>
              <w:spacing w:after="0"/>
              <w:rPr>
                <w:sz w:val="24"/>
                <w:szCs w:val="24"/>
                <w:color w:val="auto"/>
              </w:rPr>
            </w:pPr>
          </w:p>
        </w:tc>
        <w:tc>
          <w:tcPr>
            <w:tcW w:w="3920" w:type="dxa"/>
            <w:vAlign w:val="bottom"/>
            <w:gridSpan w:val="3"/>
            <w:vMerge w:val="restart"/>
          </w:tcPr>
          <w:p>
            <w:pPr>
              <w:jc w:val="right"/>
              <w:ind w:right="2528"/>
              <w:spacing w:after="0"/>
              <w:rPr>
                <w:sz w:val="20"/>
                <w:szCs w:val="20"/>
                <w:color w:val="auto"/>
              </w:rPr>
            </w:pPr>
            <w:r>
              <w:rPr>
                <w:rFonts w:ascii="Arial" w:cs="Arial" w:eastAsia="Arial" w:hAnsi="Arial"/>
                <w:sz w:val="14"/>
                <w:szCs w:val="14"/>
                <w:b w:val="1"/>
                <w:bCs w:val="1"/>
                <w:color w:val="auto"/>
              </w:rPr>
              <w:t>94607</w:t>
            </w:r>
          </w:p>
        </w:tc>
        <w:tc>
          <w:tcPr>
            <w:tcW w:w="0" w:type="dxa"/>
            <w:vAlign w:val="bottom"/>
          </w:tcPr>
          <w:p>
            <w:pPr>
              <w:spacing w:after="0"/>
              <w:rPr>
                <w:sz w:val="1"/>
                <w:szCs w:val="1"/>
                <w:color w:val="auto"/>
              </w:rPr>
            </w:pPr>
          </w:p>
        </w:tc>
      </w:tr>
      <w:tr>
        <w:trPr>
          <w:trHeight w:val="190"/>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Oakland, California</w:t>
            </w:r>
          </w:p>
        </w:tc>
        <w:tc>
          <w:tcPr>
            <w:tcW w:w="2480" w:type="dxa"/>
            <w:vAlign w:val="bottom"/>
          </w:tcPr>
          <w:p>
            <w:pPr>
              <w:spacing w:after="0"/>
              <w:rPr>
                <w:sz w:val="16"/>
                <w:szCs w:val="16"/>
                <w:color w:val="auto"/>
              </w:rPr>
            </w:pPr>
          </w:p>
        </w:tc>
        <w:tc>
          <w:tcPr>
            <w:tcW w:w="3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gridSpan w:val="3"/>
          </w:tcPr>
          <w:p>
            <w:pPr>
              <w:jc w:val="center"/>
              <w:ind w:left="708"/>
              <w:spacing w:after="0"/>
              <w:rPr>
                <w:sz w:val="20"/>
                <w:szCs w:val="20"/>
                <w:color w:val="auto"/>
              </w:rPr>
            </w:pPr>
            <w:r>
              <w:rPr>
                <w:rFonts w:ascii="Arial" w:cs="Arial" w:eastAsia="Arial" w:hAnsi="Arial"/>
                <w:sz w:val="14"/>
                <w:szCs w:val="14"/>
                <w:i w:val="1"/>
                <w:iCs w:val="1"/>
                <w:color w:val="auto"/>
              </w:rPr>
              <w:t>(Address of principal executive offices)</w:t>
            </w: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ind w:right="18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543"/>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tcPr>
          <w:p>
            <w:pPr>
              <w:jc w:val="center"/>
              <w:ind w:right="828"/>
              <w:spacing w:after="0"/>
              <w:rPr>
                <w:sz w:val="20"/>
                <w:szCs w:val="20"/>
                <w:color w:val="auto"/>
              </w:rPr>
            </w:pPr>
            <w:r>
              <w:rPr>
                <w:rFonts w:ascii="Arial" w:cs="Arial" w:eastAsia="Arial" w:hAnsi="Arial"/>
                <w:sz w:val="14"/>
                <w:szCs w:val="14"/>
                <w:b w:val="1"/>
                <w:bCs w:val="1"/>
                <w:color w:val="auto"/>
              </w:rPr>
              <w:t>(415) 402-5202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gridSpan w:val="2"/>
          </w:tcPr>
          <w:p>
            <w:pPr>
              <w:jc w:val="center"/>
              <w:ind w:left="128"/>
              <w:spacing w:after="0"/>
              <w:rPr>
                <w:sz w:val="20"/>
                <w:szCs w:val="20"/>
                <w:color w:val="auto"/>
              </w:rPr>
            </w:pPr>
            <w:r>
              <w:rPr>
                <w:rFonts w:ascii="Arial" w:cs="Arial" w:eastAsia="Arial" w:hAnsi="Arial"/>
                <w:sz w:val="14"/>
                <w:szCs w:val="14"/>
                <w:i w:val="1"/>
                <w:iCs w:val="1"/>
                <w:color w:val="auto"/>
              </w:rPr>
              <w:t>(Registrant’s telephone number, including area code)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4840" w:type="dxa"/>
            <w:vAlign w:val="bottom"/>
            <w:gridSpan w:val="3"/>
          </w:tcPr>
          <w:p>
            <w:pPr>
              <w:jc w:val="center"/>
              <w:ind w:right="1108"/>
              <w:spacing w:after="0"/>
              <w:rPr>
                <w:sz w:val="20"/>
                <w:szCs w:val="20"/>
                <w:color w:val="auto"/>
              </w:rPr>
            </w:pPr>
            <w:r>
              <w:rPr>
                <w:rFonts w:ascii="Arial" w:cs="Arial" w:eastAsia="Arial" w:hAnsi="Arial"/>
                <w:sz w:val="14"/>
                <w:szCs w:val="14"/>
                <w:color w:val="auto"/>
              </w:rPr>
              <w:t>Securities registered pursuant to Section 12(b) of the Act:</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68"/>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4840" w:type="dxa"/>
            <w:vAlign w:val="bottom"/>
            <w:gridSpan w:val="3"/>
          </w:tcPr>
          <w:p>
            <w:pPr>
              <w:jc w:val="center"/>
              <w:ind w:right="1088"/>
              <w:spacing w:after="0"/>
              <w:rPr>
                <w:sz w:val="20"/>
                <w:szCs w:val="20"/>
                <w:color w:val="auto"/>
              </w:rPr>
            </w:pPr>
            <w:r>
              <w:rPr>
                <w:rFonts w:ascii="Arial" w:cs="Arial" w:eastAsia="Arial" w:hAnsi="Arial"/>
                <w:sz w:val="14"/>
                <w:szCs w:val="14"/>
                <w:color w:val="auto"/>
              </w:rPr>
              <w:t>Class A Common Stock, $0.0001 par value per share</w:t>
            </w:r>
          </w:p>
        </w:tc>
        <w:tc>
          <w:tcPr>
            <w:tcW w:w="2480" w:type="dxa"/>
            <w:vAlign w:val="bottom"/>
          </w:tcPr>
          <w:p>
            <w:pPr>
              <w:jc w:val="center"/>
              <w:ind w:right="848"/>
              <w:spacing w:after="0"/>
              <w:rPr>
                <w:sz w:val="20"/>
                <w:szCs w:val="20"/>
                <w:color w:val="auto"/>
              </w:rPr>
            </w:pPr>
            <w:r>
              <w:rPr>
                <w:rFonts w:ascii="Arial" w:cs="Arial" w:eastAsia="Arial" w:hAnsi="Arial"/>
                <w:sz w:val="14"/>
                <w:szCs w:val="14"/>
                <w:color w:val="auto"/>
              </w:rPr>
              <w:t>TDUP</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395" w:lineRule="exact"/>
        <w:rPr>
          <w:sz w:val="24"/>
          <w:szCs w:val="24"/>
          <w:color w:val="auto"/>
        </w:rPr>
      </w:pPr>
    </w:p>
    <w:p>
      <w:pPr>
        <w:jc w:val="both"/>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51" w:lineRule="exact"/>
        <w:rPr>
          <w:sz w:val="24"/>
          <w:szCs w:val="24"/>
          <w:color w:val="auto"/>
        </w:rPr>
      </w:pPr>
    </w:p>
    <w:p>
      <w:pPr>
        <w:jc w:val="both"/>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3"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8"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060" w:type="dxa"/>
            <w:vAlign w:val="bottom"/>
          </w:tcPr>
          <w:p>
            <w:pPr>
              <w:ind w:left="306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9"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6"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color w:val="auto"/>
        </w:rPr>
        <w:t>There were 69,960,710 shares of Class A common stock and 30,844,696 shares of Class B common stock outstanding as of 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r>
      <w:tr>
        <w:trPr>
          <w:trHeight w:val="446"/>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39"/>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r>
      <w:tr>
        <w:trPr>
          <w:trHeight w:val="214"/>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0" w:type="dxa"/>
            <w:vAlign w:val="bottom"/>
            <w:gridSpan w:val="10"/>
          </w:tcPr>
          <w:p>
            <w:pPr>
              <w:jc w:val="center"/>
              <w:ind w:right="2560"/>
              <w:spacing w:after="0"/>
              <w:rPr>
                <w:sz w:val="20"/>
                <w:szCs w:val="20"/>
                <w:color w:val="auto"/>
              </w:rPr>
            </w:pPr>
            <w:r>
              <w:rPr>
                <w:rFonts w:ascii="Arial" w:cs="Arial" w:eastAsia="Arial" w:hAnsi="Arial"/>
                <w:sz w:val="18"/>
                <w:szCs w:val="18"/>
                <w:b w:val="1"/>
                <w:bCs w:val="1"/>
                <w:color w:val="auto"/>
                <w:w w:val="99"/>
              </w:rPr>
              <w:t>PART I. FINANCIAL INFORMATION</w:t>
            </w:r>
          </w:p>
        </w:tc>
        <w:tc>
          <w:tcPr>
            <w:tcW w:w="1140" w:type="dxa"/>
            <w:vAlign w:val="bottom"/>
          </w:tcPr>
          <w:p>
            <w:pPr>
              <w:spacing w:after="0"/>
              <w:rPr>
                <w:sz w:val="18"/>
                <w:szCs w:val="18"/>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9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8960" w:type="dxa"/>
            <w:vAlign w:val="bottom"/>
            <w:gridSpan w:val="20"/>
          </w:tcPr>
          <w:p>
            <w:pPr>
              <w:ind w:left="160"/>
              <w:spacing w:after="0" w:line="189" w:lineRule="exact"/>
              <w:rPr>
                <w:sz w:val="20"/>
                <w:szCs w:val="20"/>
                <w:color w:val="auto"/>
              </w:rPr>
            </w:pPr>
            <w:r>
              <w:rPr>
                <w:rFonts w:ascii="Arial" w:cs="Arial" w:eastAsia="Arial" w:hAnsi="Arial"/>
                <w:sz w:val="18"/>
                <w:szCs w:val="18"/>
                <w:color w:val="0000FF"/>
              </w:rPr>
              <w:t>Unaudited Condensed Consolidated Balance Sheets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5</w:t>
            </w: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Statements of Operations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6</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0" w:type="dxa"/>
            <w:vAlign w:val="bottom"/>
            <w:gridSpan w:val="19"/>
          </w:tcPr>
          <w:p>
            <w:pPr>
              <w:spacing w:after="0" w:line="189" w:lineRule="exact"/>
              <w:rPr>
                <w:sz w:val="20"/>
                <w:szCs w:val="20"/>
                <w:color w:val="auto"/>
              </w:rPr>
            </w:pPr>
            <w:r>
              <w:rPr>
                <w:rFonts w:ascii="Arial" w:cs="Arial" w:eastAsia="Arial" w:hAnsi="Arial"/>
                <w:sz w:val="18"/>
                <w:szCs w:val="18"/>
                <w:color w:val="0000FF"/>
              </w:rPr>
              <w:t>Unaudited Condensed Consolidated Statements of Comprehensive Loss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7</w:t>
            </w: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Statements of Convertible Preferred Stock and Stockholders’ Equity</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8</w:t>
            </w:r>
          </w:p>
        </w:tc>
      </w:tr>
      <w:tr>
        <w:trPr>
          <w:trHeight w:val="189"/>
        </w:trPr>
        <w:tc>
          <w:tcPr>
            <w:tcW w:w="11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340" w:type="dxa"/>
            <w:vAlign w:val="bottom"/>
            <w:tcBorders>
              <w:top w:val="single" w:sz="8" w:color="0000FF"/>
            </w:tcBorders>
            <w:gridSpan w:val="18"/>
          </w:tcPr>
          <w:p>
            <w:pPr>
              <w:spacing w:after="0" w:line="189" w:lineRule="exact"/>
              <w:rPr>
                <w:sz w:val="20"/>
                <w:szCs w:val="20"/>
                <w:color w:val="auto"/>
              </w:rPr>
            </w:pPr>
            <w:r>
              <w:rPr>
                <w:rFonts w:ascii="Arial" w:cs="Arial" w:eastAsia="Arial" w:hAnsi="Arial"/>
                <w:sz w:val="18"/>
                <w:szCs w:val="18"/>
                <w:color w:val="0000FF"/>
              </w:rPr>
              <w:t>Unaudited Condensed Consolidated Statements of Cash Flows</w:t>
            </w:r>
          </w:p>
        </w:tc>
        <w:tc>
          <w:tcPr>
            <w:tcW w:w="4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10</w:t>
            </w:r>
          </w:p>
        </w:tc>
      </w:tr>
      <w:tr>
        <w:trPr>
          <w:trHeight w:val="21"/>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Notes to Unaudited Condensed Consolidated Financial Statements</w:t>
            </w:r>
          </w:p>
        </w:tc>
        <w:tc>
          <w:tcPr>
            <w:tcW w:w="11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11</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19</w:t>
            </w:r>
          </w:p>
        </w:tc>
      </w:tr>
      <w:tr>
        <w:trPr>
          <w:trHeight w:val="21"/>
        </w:trPr>
        <w:tc>
          <w:tcPr>
            <w:tcW w:w="11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472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27</w:t>
            </w: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Controls and Procedures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28</w:t>
            </w:r>
          </w:p>
        </w:tc>
      </w:tr>
      <w:tr>
        <w:trPr>
          <w:trHeight w:val="507"/>
        </w:trPr>
        <w:tc>
          <w:tcPr>
            <w:tcW w:w="114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640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PART II. OTHER INFORMATION</w:t>
            </w:r>
          </w:p>
        </w:tc>
        <w:tc>
          <w:tcPr>
            <w:tcW w:w="1140" w:type="dxa"/>
            <w:vAlign w:val="bottom"/>
          </w:tcPr>
          <w:p>
            <w:pPr>
              <w:spacing w:after="0"/>
              <w:rPr>
                <w:sz w:val="24"/>
                <w:szCs w:val="24"/>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460" w:type="dxa"/>
            <w:vAlign w:val="bottom"/>
            <w:tcBorders>
              <w:bottom w:val="single" w:sz="8" w:color="CCEEFF"/>
            </w:tcBorders>
            <w:gridSpan w:val="14"/>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Risk Factors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20"/>
        </w:trPr>
        <w:tc>
          <w:tcPr>
            <w:tcW w:w="11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486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100" w:type="dxa"/>
            <w:vAlign w:val="bottom"/>
            <w:tcBorders>
              <w:bottom w:val="single" w:sz="8" w:color="CCEEFF"/>
            </w:tcBorders>
            <w:gridSpan w:val="7"/>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3.</w:t>
            </w: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21"/>
        </w:trPr>
        <w:tc>
          <w:tcPr>
            <w:tcW w:w="11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194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7020" w:type="dxa"/>
            <w:vAlign w:val="bottom"/>
            <w:tcBorders>
              <w:bottom w:val="single" w:sz="8" w:color="CCEEFF"/>
            </w:tcBorders>
            <w:gridSpan w:val="12"/>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Item 5.</w:t>
            </w: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Other Information</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21"/>
        </w:trPr>
        <w:tc>
          <w:tcPr>
            <w:tcW w:w="11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8320" w:type="dxa"/>
            <w:vAlign w:val="bottom"/>
            <w:tcBorders>
              <w:bottom w:val="single" w:sz="8" w:color="CCEEFF"/>
            </w:tcBorders>
            <w:gridSpan w:val="18"/>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30</w:t>
            </w:r>
          </w:p>
        </w:tc>
      </w:tr>
      <w:tr>
        <w:trPr>
          <w:trHeight w:val="189"/>
        </w:trPr>
        <w:tc>
          <w:tcPr>
            <w:tcW w:w="1140" w:type="dxa"/>
            <w:vAlign w:val="bottom"/>
          </w:tcPr>
          <w:p>
            <w:pPr>
              <w:spacing w:after="0"/>
              <w:rPr>
                <w:sz w:val="16"/>
                <w:szCs w:val="16"/>
                <w:color w:val="auto"/>
              </w:rPr>
            </w:pPr>
          </w:p>
        </w:tc>
        <w:tc>
          <w:tcPr>
            <w:tcW w:w="8960" w:type="dxa"/>
            <w:vAlign w:val="bottom"/>
            <w:gridSpan w:val="20"/>
          </w:tcPr>
          <w:p>
            <w:pPr>
              <w:spacing w:after="0" w:line="189" w:lineRule="exact"/>
              <w:rPr>
                <w:sz w:val="20"/>
                <w:szCs w:val="20"/>
                <w:color w:val="auto"/>
              </w:rPr>
            </w:pPr>
            <w:r>
              <w:rPr>
                <w:rFonts w:ascii="Arial" w:cs="Arial" w:eastAsia="Arial" w:hAnsi="Arial"/>
                <w:sz w:val="18"/>
                <w:szCs w:val="18"/>
                <w:color w:val="0000FF"/>
              </w:rPr>
              <w:t>Signatures</w:t>
            </w:r>
          </w:p>
        </w:tc>
        <w:tc>
          <w:tcPr>
            <w:tcW w:w="1140" w:type="dxa"/>
            <w:vAlign w:val="bottom"/>
          </w:tcPr>
          <w:p>
            <w:pPr>
              <w:jc w:val="center"/>
              <w:spacing w:after="0" w:line="189" w:lineRule="exact"/>
              <w:rPr>
                <w:sz w:val="20"/>
                <w:szCs w:val="20"/>
                <w:color w:val="auto"/>
              </w:rPr>
            </w:pPr>
            <w:r>
              <w:rPr>
                <w:rFonts w:ascii="Arial" w:cs="Arial" w:eastAsia="Arial" w:hAnsi="Arial"/>
                <w:sz w:val="18"/>
                <w:szCs w:val="18"/>
                <w:color w:val="auto"/>
                <w:w w:val="99"/>
              </w:rPr>
              <w:t>32</w:t>
            </w: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77" w:lineRule="exact"/>
        <w:rPr>
          <w:sz w:val="20"/>
          <w:szCs w:val="20"/>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future financial performance, including our revenue, cost of revenue and operating expenses and our ability to achieve and maintain future profitability;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our cash, cash equivalents and capital resources to meet our liquidity needs;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or sustain our growth and to effectively expand our operations;</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strategies, plans, objectives and goals, including our expectations regarding future infrastructure investments as well as restructuring activities;</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the continued impact of network effects as we scale our platform;</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generate revenue from new Resale-as-a-Service (“RaaS”) offerings as sources of revenue;</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our key financial and operating metrics;</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estimated market opportunity;</w:t>
      </w:r>
    </w:p>
    <w:p>
      <w:pPr>
        <w:spacing w:after="0" w:line="117" w:lineRule="exact"/>
        <w:rPr>
          <w:rFonts w:ascii="Arial" w:cs="Arial" w:eastAsia="Arial" w:hAnsi="Arial"/>
          <w:sz w:val="18"/>
          <w:szCs w:val="18"/>
          <w:i w:val="1"/>
          <w:iCs w:val="1"/>
          <w:color w:val="auto"/>
        </w:rPr>
      </w:pPr>
    </w:p>
    <w:p>
      <w:pPr>
        <w:ind w:left="660" w:hanging="328"/>
        <w:spacing w:after="0" w:line="282"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industry trends, projected growth or trend analysis, including the effects of foreign currency exchange rate fluctuations, inflationary pressures, increased interest rates and changing consumer habits and general global economic uncertainty;</w:t>
      </w:r>
    </w:p>
    <w:p>
      <w:pPr>
        <w:spacing w:after="0" w:line="53"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laws and regulations;</w:t>
      </w:r>
    </w:p>
    <w:p>
      <w:pPr>
        <w:spacing w:after="0" w:line="117" w:lineRule="exact"/>
        <w:rPr>
          <w:rFonts w:ascii="Arial" w:cs="Arial" w:eastAsia="Arial" w:hAnsi="Arial"/>
          <w:sz w:val="18"/>
          <w:szCs w:val="18"/>
          <w:i w:val="1"/>
          <w:iCs w:val="1"/>
          <w:color w:val="auto"/>
        </w:rPr>
      </w:pPr>
    </w:p>
    <w:p>
      <w:pPr>
        <w:jc w:val="both"/>
        <w:ind w:left="660" w:hanging="328"/>
        <w:spacing w:after="0" w:line="266" w:lineRule="auto"/>
        <w:tabs>
          <w:tab w:leader="none" w:pos="628"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of uncertainties related to the ongoing global COVID-19 pandemic, including its varied social and macroeconomic consequences and recovery therefrom on United States and global economies, our business, results of operations, financial condition, demand for secondhand and resale items, sales cycles and buyer and seller retention;</w:t>
      </w:r>
    </w:p>
    <w:p>
      <w:pPr>
        <w:spacing w:after="0" w:line="6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remediate our material weakness in our internal control over financial reporting;</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and realize the benefits of our past or future strategic acquisitions or investments; and</w:t>
      </w:r>
    </w:p>
    <w:p>
      <w:pPr>
        <w:spacing w:after="0" w:line="117" w:lineRule="exact"/>
        <w:rPr>
          <w:rFonts w:ascii="Arial" w:cs="Arial" w:eastAsia="Arial" w:hAnsi="Arial"/>
          <w:sz w:val="18"/>
          <w:szCs w:val="18"/>
          <w:i w:val="1"/>
          <w:iCs w:val="1"/>
          <w:color w:val="auto"/>
        </w:rPr>
      </w:pPr>
    </w:p>
    <w:p>
      <w:pPr>
        <w:ind w:left="620" w:hanging="288"/>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expenses associated with being a public company.</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You should not rely upon forward-looking statements as predictions of future events. The outcome of the events described in these forward-looking statements is subject to risks, uncertainties and other factors described in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our Annual Report on Form 10-K for the year ended December 31, 2021, Part II, Item 1A, Risk Factors of our Quarterly Report on Form 10-Q for the quarter ended June 30, 2022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Unless otherwise indicated or unless the context requires otherwise, all references in this document to “thredUP”, “the Company”, “we”, “us”, “our”, or similar references are to ThredUp Inc. and its consolidated subsidiaries.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based primarily on items processed, items sold and the capacity of our distribution centers.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311"/>
              <w:spacing w:after="0"/>
              <w:rPr>
                <w:sz w:val="20"/>
                <w:szCs w:val="20"/>
                <w:color w:val="auto"/>
              </w:rPr>
            </w:pPr>
            <w:r>
              <w:rPr>
                <w:rFonts w:ascii="Arial" w:cs="Arial" w:eastAsia="Arial" w:hAnsi="Arial"/>
                <w:sz w:val="14"/>
                <w:szCs w:val="14"/>
                <w:i w:val="1"/>
                <w:iCs w:val="1"/>
                <w:color w:val="auto"/>
              </w:rPr>
              <w:t>(in thousands, except par value amounts)</w:t>
            </w:r>
          </w:p>
        </w:tc>
      </w:tr>
      <w:tr>
        <w:trPr>
          <w:trHeight w:val="236"/>
        </w:trPr>
        <w:tc>
          <w:tcPr>
            <w:tcW w:w="778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86,501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121,277</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9,825</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151,518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228,413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89,529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55,466</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12,238</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13,854</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319,590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360,826</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3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53,365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45,253</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Seller payable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3,931</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89,509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89,413</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27,559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169,895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155,092</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88"/>
        </w:trPr>
        <w:tc>
          <w:tcPr>
            <w:tcW w:w="77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Class A and B common stock, $0.0001 par value; 1,120,000 shares authorized as of</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9"/>
        </w:trPr>
        <w:tc>
          <w:tcPr>
            <w:tcW w:w="778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September 30, 2022 and December 31, 2021; 100,732 and 98,435 shares issued and</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as of September 30, 2022 and December 31, 2021, respectively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545,449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522,161</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(388,128)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(315,343)</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149,695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205,734</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319,590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360,826</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16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41,553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48,071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137,524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141,356</w:t>
            </w: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79,537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37,557</w:t>
            </w: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217,061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178,913</w:t>
            </w: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Consignment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29,354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31,599</w:t>
            </w: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17,370</w:t>
            </w: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48,969</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129,944</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product and technology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121,824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91,455</w:t>
            </w: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51,370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48,344</w:t>
            </w:r>
          </w:p>
        </w:tc>
      </w:tr>
      <w:tr>
        <w:trPr>
          <w:trHeight w:val="229"/>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34,206</w:t>
            </w:r>
          </w:p>
        </w:tc>
      </w:tr>
      <w:tr>
        <w:trPr>
          <w:trHeight w:val="22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174,005</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(44,061)</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(45,208)</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(45,265)</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share, basic and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188"/>
        </w:trPr>
        <w:tc>
          <w:tcPr>
            <w:tcW w:w="4300" w:type="dxa"/>
            <w:vAlign w:val="bottom"/>
          </w:tcPr>
          <w:p>
            <w:pPr>
              <w:ind w:left="20"/>
              <w:spacing w:after="0" w:line="189" w:lineRule="exact"/>
              <w:rPr>
                <w:sz w:val="20"/>
                <w:szCs w:val="20"/>
                <w:color w:val="auto"/>
              </w:rPr>
            </w:pPr>
            <w:r>
              <w:rPr>
                <w:rFonts w:ascii="Arial" w:cs="Arial" w:eastAsia="Arial" w:hAnsi="Arial"/>
                <w:sz w:val="18"/>
                <w:szCs w:val="18"/>
                <w:color w:val="auto"/>
              </w:rPr>
              <w:t>Weighted-average shares used in computing loss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per share, basic and diluted</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100,253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96,349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99,409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70,113</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10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(45,265)</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4300" w:type="dxa"/>
            <w:vAlign w:val="bottom"/>
          </w:tcPr>
          <w:p>
            <w:pPr>
              <w:ind w:left="180"/>
              <w:spacing w:after="0" w:line="189" w:lineRule="exact"/>
              <w:rPr>
                <w:sz w:val="20"/>
                <w:szCs w:val="20"/>
                <w:color w:val="auto"/>
              </w:rPr>
            </w:pPr>
            <w:r>
              <w:rPr>
                <w:rFonts w:ascii="Arial" w:cs="Arial" w:eastAsia="Arial" w:hAnsi="Arial"/>
                <w:sz w:val="18"/>
                <w:szCs w:val="18"/>
                <w:color w:val="auto"/>
              </w:rPr>
              <w:t>Unrealized gain (loss) on available-for-sale</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(79,327)</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(45,293)</w:t>
            </w:r>
          </w:p>
        </w:tc>
      </w:tr>
      <w:tr>
        <w:trPr>
          <w:trHeight w:val="21"/>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20" w:type="dxa"/>
            <w:vAlign w:val="bottom"/>
          </w:tcPr>
          <w:p>
            <w:pPr>
              <w:spacing w:after="0"/>
              <w:rPr>
                <w:sz w:val="17"/>
                <w:szCs w:val="17"/>
                <w:color w:val="auto"/>
              </w:rPr>
            </w:pPr>
          </w:p>
        </w:tc>
        <w:tc>
          <w:tcPr>
            <w:tcW w:w="2200" w:type="dxa"/>
            <w:vAlign w:val="bottom"/>
            <w:gridSpan w:val="6"/>
          </w:tcPr>
          <w:p>
            <w:pPr>
              <w:ind w:left="120"/>
              <w:spacing w:after="0"/>
              <w:rPr>
                <w:sz w:val="20"/>
                <w:szCs w:val="20"/>
                <w:color w:val="auto"/>
              </w:rPr>
            </w:pPr>
            <w:r>
              <w:rPr>
                <w:rFonts w:ascii="Arial" w:cs="Arial" w:eastAsia="Arial" w:hAnsi="Arial"/>
                <w:sz w:val="14"/>
                <w:szCs w:val="14"/>
                <w:b w:val="1"/>
                <w:bCs w:val="1"/>
                <w:color w:val="auto"/>
              </w:rPr>
              <w:t>Convertible Preferred Stock</w:t>
            </w: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205,734</w:t>
            </w:r>
          </w:p>
        </w:tc>
        <w:tc>
          <w:tcPr>
            <w:tcW w:w="0" w:type="dxa"/>
            <w:vAlign w:val="bottom"/>
          </w:tcPr>
          <w:p>
            <w:pPr>
              <w:spacing w:after="0"/>
              <w:rPr>
                <w:sz w:val="1"/>
                <w:szCs w:val="1"/>
                <w:color w:val="auto"/>
              </w:rPr>
            </w:pPr>
          </w:p>
        </w:tc>
      </w:tr>
      <w:tr>
        <w:trPr>
          <w:trHeight w:val="19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754</w:t>
            </w: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0" w:type="dxa"/>
            <w:vAlign w:val="bottom"/>
          </w:tcPr>
          <w:p>
            <w:pPr>
              <w:spacing w:after="0"/>
              <w:rPr>
                <w:sz w:val="1"/>
                <w:szCs w:val="1"/>
                <w:color w:val="auto"/>
              </w:rPr>
            </w:pPr>
          </w:p>
        </w:tc>
      </w:tr>
      <w:tr>
        <w:trPr>
          <w:trHeight w:val="16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to</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tcPr>
          <w:p>
            <w:pPr>
              <w:ind w:left="180"/>
              <w:spacing w:after="0"/>
              <w:rPr>
                <w:sz w:val="20"/>
                <w:szCs w:val="20"/>
                <w:color w:val="auto"/>
              </w:rPr>
            </w:pPr>
            <w:r>
              <w:rPr>
                <w:rFonts w:ascii="Arial" w:cs="Arial" w:eastAsia="Arial" w:hAnsi="Arial"/>
                <w:sz w:val="14"/>
                <w:szCs w:val="14"/>
                <w:color w:val="auto"/>
              </w:rPr>
              <w:t>settle restricted 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(20,708)</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(20,708)</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526,533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187,688</w:t>
            </w:r>
          </w:p>
        </w:tc>
        <w:tc>
          <w:tcPr>
            <w:tcW w:w="0" w:type="dxa"/>
            <w:vAlign w:val="bottom"/>
          </w:tcPr>
          <w:p>
            <w:pPr>
              <w:spacing w:after="0"/>
              <w:rPr>
                <w:sz w:val="1"/>
                <w:szCs w:val="1"/>
                <w:color w:val="auto"/>
              </w:rPr>
            </w:pPr>
          </w:p>
        </w:tc>
      </w:tr>
      <w:tr>
        <w:trPr>
          <w:trHeight w:val="19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874</w:t>
            </w:r>
          </w:p>
        </w:tc>
        <w:tc>
          <w:tcPr>
            <w:tcW w:w="0" w:type="dxa"/>
            <w:vAlign w:val="bottom"/>
          </w:tcPr>
          <w:p>
            <w:pPr>
              <w:spacing w:after="0"/>
              <w:rPr>
                <w:sz w:val="1"/>
                <w:szCs w:val="1"/>
                <w:color w:val="auto"/>
              </w:rPr>
            </w:pPr>
          </w:p>
        </w:tc>
      </w:tr>
      <w:tr>
        <w:trPr>
          <w:trHeight w:val="208"/>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10,353</w:t>
            </w:r>
          </w:p>
        </w:tc>
        <w:tc>
          <w:tcPr>
            <w:tcW w:w="0" w:type="dxa"/>
            <w:vAlign w:val="bottom"/>
          </w:tcPr>
          <w:p>
            <w:pPr>
              <w:spacing w:after="0"/>
              <w:rPr>
                <w:sz w:val="1"/>
                <w:szCs w:val="1"/>
                <w:color w:val="auto"/>
              </w:rPr>
            </w:pPr>
          </w:p>
        </w:tc>
      </w:tr>
      <w:tr>
        <w:trPr>
          <w:trHeight w:val="16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to</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tcPr>
          <w:p>
            <w:pPr>
              <w:ind w:left="180"/>
              <w:spacing w:after="0"/>
              <w:rPr>
                <w:sz w:val="20"/>
                <w:szCs w:val="20"/>
                <w:color w:val="auto"/>
              </w:rPr>
            </w:pPr>
            <w:r>
              <w:rPr>
                <w:rFonts w:ascii="Arial" w:cs="Arial" w:eastAsia="Arial" w:hAnsi="Arial"/>
                <w:sz w:val="14"/>
                <w:szCs w:val="14"/>
                <w:color w:val="auto"/>
              </w:rPr>
              <w:t>settle restricted stock units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from</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employee stock purchase plan</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(2,587)</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(28,399)</w:t>
            </w:r>
          </w:p>
        </w:tc>
        <w:tc>
          <w:tcPr>
            <w:tcW w:w="0" w:type="dxa"/>
            <w:vAlign w:val="bottom"/>
          </w:tcPr>
          <w:p>
            <w:pPr>
              <w:spacing w:after="0"/>
              <w:rPr>
                <w:sz w:val="1"/>
                <w:szCs w:val="1"/>
                <w:color w:val="auto"/>
              </w:rPr>
            </w:pPr>
          </w:p>
        </w:tc>
      </w:tr>
      <w:tr>
        <w:trPr>
          <w:trHeight w:val="19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Balance as of June 30, 2022</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99,953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537,760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(364,450)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167,929</w:t>
            </w: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6"/>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7,460</w:t>
            </w:r>
          </w:p>
        </w:tc>
        <w:tc>
          <w:tcPr>
            <w:tcW w:w="0" w:type="dxa"/>
            <w:vAlign w:val="bottom"/>
          </w:tcPr>
          <w:p>
            <w:pPr>
              <w:spacing w:after="0"/>
              <w:rPr>
                <w:sz w:val="1"/>
                <w:szCs w:val="1"/>
                <w:color w:val="auto"/>
              </w:rPr>
            </w:pPr>
          </w:p>
        </w:tc>
      </w:tr>
      <w:tr>
        <w:trPr>
          <w:trHeight w:val="17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to</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settle restricted stock units</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0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(2,245)</w:t>
            </w: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(23,678)</w:t>
            </w:r>
          </w:p>
        </w:tc>
        <w:tc>
          <w:tcPr>
            <w:tcW w:w="0" w:type="dxa"/>
            <w:vAlign w:val="bottom"/>
          </w:tcPr>
          <w:p>
            <w:pPr>
              <w:spacing w:after="0"/>
              <w:rPr>
                <w:sz w:val="1"/>
                <w:szCs w:val="1"/>
                <w:color w:val="auto"/>
              </w:rPr>
            </w:pPr>
          </w:p>
        </w:tc>
      </w:tr>
      <w:tr>
        <w:trPr>
          <w:trHeight w:val="153"/>
        </w:trPr>
        <w:tc>
          <w:tcPr>
            <w:tcW w:w="31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Balance as of September 30,</w:t>
            </w: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100,732</w:t>
            </w:r>
          </w:p>
        </w:tc>
        <w:tc>
          <w:tcPr>
            <w:tcW w:w="8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545,449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(7,636)</w:t>
            </w:r>
          </w:p>
        </w:tc>
        <w:tc>
          <w:tcPr>
            <w:tcW w:w="8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(388,128)</w:t>
            </w:r>
          </w:p>
        </w:tc>
        <w:tc>
          <w:tcPr>
            <w:tcW w:w="8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149,695</w:t>
            </w:r>
          </w:p>
        </w:tc>
        <w:tc>
          <w:tcPr>
            <w:tcW w:w="0" w:type="dxa"/>
            <w:vAlign w:val="bottom"/>
          </w:tcPr>
          <w:p>
            <w:pPr>
              <w:spacing w:after="0"/>
              <w:rPr>
                <w:sz w:val="1"/>
                <w:szCs w:val="1"/>
                <w:color w:val="auto"/>
              </w:rPr>
            </w:pPr>
          </w:p>
        </w:tc>
      </w:tr>
      <w:tr>
        <w:trPr>
          <w:trHeight w:val="144"/>
        </w:trPr>
        <w:tc>
          <w:tcPr>
            <w:tcW w:w="2320" w:type="dxa"/>
            <w:vAlign w:val="bottom"/>
          </w:tcPr>
          <w:p>
            <w:pPr>
              <w:ind w:left="180"/>
              <w:spacing w:after="0" w:line="144" w:lineRule="exact"/>
              <w:rPr>
                <w:sz w:val="20"/>
                <w:szCs w:val="20"/>
                <w:color w:val="auto"/>
              </w:rPr>
            </w:pPr>
            <w:r>
              <w:rPr>
                <w:rFonts w:ascii="Arial" w:cs="Arial" w:eastAsia="Arial" w:hAnsi="Arial"/>
                <w:sz w:val="14"/>
                <w:szCs w:val="14"/>
                <w:color w:val="auto"/>
              </w:rPr>
              <w:t>2022</w:t>
            </w:r>
          </w:p>
        </w:tc>
        <w:tc>
          <w:tcPr>
            <w:tcW w:w="7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20" w:type="dxa"/>
            <w:vAlign w:val="bottom"/>
          </w:tcPr>
          <w:p>
            <w:pPr>
              <w:spacing w:after="0"/>
              <w:rPr>
                <w:sz w:val="17"/>
                <w:szCs w:val="17"/>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Convertible Preferred Stock</w:t>
            </w:r>
          </w:p>
        </w:tc>
        <w:tc>
          <w:tcPr>
            <w:tcW w:w="2200" w:type="dxa"/>
            <w:vAlign w:val="bottom"/>
            <w:gridSpan w:val="5"/>
          </w:tcPr>
          <w:p>
            <w:pPr>
              <w:ind w:lef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3"/>
            <w:vMerge w:val="continue"/>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Deficit</w:t>
            </w: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5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(222,177)</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w:t>
            </w: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Conversion of preferred stock</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Arial" w:cs="Arial" w:eastAsia="Arial" w:hAnsi="Arial"/>
                <w:sz w:val="14"/>
                <w:szCs w:val="14"/>
                <w:color w:val="auto"/>
              </w:rPr>
              <w:t>warrants to Class B common</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1,827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stock warrants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conversion to</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65,971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247,034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247,041</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common stock</w:t>
            </w: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Sale of Class A common stock</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Arial" w:cs="Arial" w:eastAsia="Arial" w:hAnsi="Arial"/>
                <w:sz w:val="14"/>
                <w:szCs w:val="14"/>
                <w:color w:val="auto"/>
              </w:rPr>
              <w:t>upon initial public offering, net</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13,800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175,533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175,534</w:t>
            </w: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of issuance costs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Cashless exercise of common</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warrant</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94,144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459,756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191,427</w:t>
            </w:r>
          </w:p>
        </w:tc>
        <w:tc>
          <w:tcPr>
            <w:tcW w:w="0" w:type="dxa"/>
            <w:vAlign w:val="bottom"/>
          </w:tcPr>
          <w:p>
            <w:pPr>
              <w:spacing w:after="0"/>
              <w:rPr>
                <w:sz w:val="1"/>
                <w:szCs w:val="1"/>
                <w:color w:val="auto"/>
              </w:rPr>
            </w:pPr>
          </w:p>
        </w:tc>
      </w:tr>
      <w:tr>
        <w:trPr>
          <w:trHeight w:val="197"/>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Cashless exercise of common</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tcPr>
          <w:p>
            <w:pPr>
              <w:ind w:left="180"/>
              <w:spacing w:after="0"/>
              <w:rPr>
                <w:sz w:val="20"/>
                <w:szCs w:val="20"/>
                <w:color w:val="auto"/>
              </w:rPr>
            </w:pPr>
            <w:r>
              <w:rPr>
                <w:rFonts w:ascii="Arial" w:cs="Arial" w:eastAsia="Arial" w:hAnsi="Arial"/>
                <w:sz w:val="14"/>
                <w:szCs w:val="14"/>
                <w:color w:val="auto"/>
              </w:rPr>
              <w:t>stock warrant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to</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 restricted stock units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Withholding taxes for the net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Arial" w:cs="Arial" w:eastAsia="Arial" w:hAnsi="Arial"/>
                <w:sz w:val="14"/>
                <w:szCs w:val="14"/>
                <w:color w:val="auto"/>
              </w:rPr>
              <w:t>share settlement of restricted</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stock units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7"/>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(14,379)</w:t>
            </w: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463,582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(282,717)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180,838</w:t>
            </w:r>
          </w:p>
        </w:tc>
        <w:tc>
          <w:tcPr>
            <w:tcW w:w="0" w:type="dxa"/>
            <w:vAlign w:val="bottom"/>
          </w:tcPr>
          <w:p>
            <w:pPr>
              <w:spacing w:after="0"/>
              <w:rPr>
                <w:sz w:val="1"/>
                <w:szCs w:val="1"/>
                <w:color w:val="auto"/>
              </w:rPr>
            </w:pPr>
          </w:p>
        </w:tc>
      </w:tr>
      <w:tr>
        <w:trPr>
          <w:trHeight w:val="196"/>
        </w:trPr>
        <w:tc>
          <w:tcPr>
            <w:tcW w:w="232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0" w:type="dxa"/>
            <w:vAlign w:val="bottom"/>
          </w:tcPr>
          <w:p>
            <w:pPr>
              <w:spacing w:after="0"/>
              <w:rPr>
                <w:sz w:val="1"/>
                <w:szCs w:val="1"/>
                <w:color w:val="auto"/>
              </w:rPr>
            </w:pPr>
          </w:p>
        </w:tc>
      </w:tr>
      <w:tr>
        <w:trPr>
          <w:trHeight w:val="167"/>
        </w:trPr>
        <w:tc>
          <w:tcPr>
            <w:tcW w:w="2320" w:type="dxa"/>
            <w:vAlign w:val="bottom"/>
          </w:tcPr>
          <w:p>
            <w:pPr>
              <w:ind w:left="20"/>
              <w:spacing w:after="0"/>
              <w:rPr>
                <w:sz w:val="20"/>
                <w:szCs w:val="20"/>
                <w:color w:val="auto"/>
              </w:rPr>
            </w:pPr>
            <w:r>
              <w:rPr>
                <w:rFonts w:ascii="Arial" w:cs="Arial" w:eastAsia="Arial" w:hAnsi="Arial"/>
                <w:sz w:val="14"/>
                <w:szCs w:val="14"/>
                <w:color w:val="auto"/>
              </w:rPr>
              <w:t>Issuance of Class A common</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80"/>
              <w:spacing w:after="0" w:line="135" w:lineRule="exact"/>
              <w:rPr>
                <w:sz w:val="20"/>
                <w:szCs w:val="20"/>
                <w:color w:val="auto"/>
              </w:rPr>
            </w:pPr>
            <w:r>
              <w:rPr>
                <w:rFonts w:ascii="Arial" w:cs="Arial" w:eastAsia="Arial" w:hAnsi="Arial"/>
                <w:sz w:val="14"/>
                <w:szCs w:val="14"/>
                <w:color w:val="auto"/>
              </w:rPr>
              <w:t>stock upon closing of follow-on</w:t>
            </w: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45,524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45,525</w:t>
            </w:r>
          </w:p>
        </w:tc>
        <w:tc>
          <w:tcPr>
            <w:tcW w:w="0" w:type="dxa"/>
            <w:vAlign w:val="bottom"/>
          </w:tcPr>
          <w:p>
            <w:pPr>
              <w:spacing w:after="0"/>
              <w:rPr>
                <w:sz w:val="1"/>
                <w:szCs w:val="1"/>
                <w:color w:val="auto"/>
              </w:rPr>
            </w:pPr>
          </w:p>
        </w:tc>
      </w:tr>
      <w:tr>
        <w:trPr>
          <w:trHeight w:val="178"/>
        </w:trPr>
        <w:tc>
          <w:tcPr>
            <w:tcW w:w="2320" w:type="dxa"/>
            <w:vAlign w:val="bottom"/>
          </w:tcPr>
          <w:p>
            <w:pPr>
              <w:ind w:left="180"/>
              <w:spacing w:after="0"/>
              <w:rPr>
                <w:sz w:val="20"/>
                <w:szCs w:val="20"/>
                <w:color w:val="auto"/>
              </w:rPr>
            </w:pPr>
            <w:r>
              <w:rPr>
                <w:rFonts w:ascii="Arial" w:cs="Arial" w:eastAsia="Arial" w:hAnsi="Arial"/>
                <w:sz w:val="14"/>
                <w:szCs w:val="14"/>
                <w:color w:val="auto"/>
              </w:rPr>
              <w:t>offering</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to</w:t>
            </w: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 restricted stock units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(14,715)</w:t>
            </w:r>
          </w:p>
        </w:tc>
        <w:tc>
          <w:tcPr>
            <w:tcW w:w="0" w:type="dxa"/>
            <w:vAlign w:val="bottom"/>
          </w:tcPr>
          <w:p>
            <w:pPr>
              <w:spacing w:after="0"/>
              <w:rPr>
                <w:sz w:val="1"/>
                <w:szCs w:val="1"/>
                <w:color w:val="auto"/>
              </w:rPr>
            </w:pPr>
          </w:p>
        </w:tc>
      </w:tr>
      <w:tr>
        <w:trPr>
          <w:trHeight w:val="147"/>
        </w:trPr>
        <w:tc>
          <w:tcPr>
            <w:tcW w:w="2320" w:type="dxa"/>
            <w:vAlign w:val="bottom"/>
          </w:tcPr>
          <w:p>
            <w:pPr>
              <w:ind w:left="20"/>
              <w:spacing w:after="0" w:line="147" w:lineRule="exact"/>
              <w:rPr>
                <w:sz w:val="20"/>
                <w:szCs w:val="20"/>
                <w:color w:val="auto"/>
              </w:rPr>
            </w:pPr>
            <w:r>
              <w:rPr>
                <w:rFonts w:ascii="Arial" w:cs="Arial" w:eastAsia="Arial" w:hAnsi="Arial"/>
                <w:sz w:val="14"/>
                <w:szCs w:val="14"/>
                <w:color w:val="auto"/>
              </w:rPr>
              <w:t>Balance as of September 30,</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97,328</w:t>
            </w:r>
          </w:p>
        </w:tc>
        <w:tc>
          <w:tcPr>
            <w:tcW w:w="8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513,124</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(297,432)</w:t>
            </w:r>
          </w:p>
        </w:tc>
        <w:tc>
          <w:tcPr>
            <w:tcW w:w="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215,674</w:t>
            </w:r>
          </w:p>
        </w:tc>
        <w:tc>
          <w:tcPr>
            <w:tcW w:w="0" w:type="dxa"/>
            <w:vAlign w:val="bottom"/>
          </w:tcPr>
          <w:p>
            <w:pPr>
              <w:spacing w:after="0"/>
              <w:rPr>
                <w:sz w:val="1"/>
                <w:szCs w:val="1"/>
                <w:color w:val="auto"/>
              </w:rPr>
            </w:pPr>
          </w:p>
        </w:tc>
      </w:tr>
      <w:tr>
        <w:trPr>
          <w:trHeight w:val="144"/>
        </w:trPr>
        <w:tc>
          <w:tcPr>
            <w:tcW w:w="2320" w:type="dxa"/>
            <w:vAlign w:val="bottom"/>
          </w:tcPr>
          <w:p>
            <w:pPr>
              <w:ind w:left="180"/>
              <w:spacing w:after="0" w:line="144" w:lineRule="exact"/>
              <w:rPr>
                <w:sz w:val="20"/>
                <w:szCs w:val="20"/>
                <w:color w:val="auto"/>
              </w:rPr>
            </w:pPr>
            <w:r>
              <w:rPr>
                <w:rFonts w:ascii="Arial" w:cs="Arial" w:eastAsia="Arial" w:hAnsi="Arial"/>
                <w:sz w:val="14"/>
                <w:szCs w:val="14"/>
                <w:color w:val="auto"/>
              </w:rPr>
              <w:t>2021</w:t>
            </w:r>
          </w:p>
        </w:tc>
        <w:tc>
          <w:tcPr>
            <w:tcW w:w="11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7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460" w:type="dxa"/>
            <w:vAlign w:val="bottom"/>
          </w:tcPr>
          <w:p>
            <w:pPr>
              <w:jc w:val="right"/>
              <w:ind w:right="271"/>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r>
      <w:tr>
        <w:trPr>
          <w:trHeight w:val="190"/>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1191"/>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7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(72,785)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(45,265)</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7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6,147</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Reduction in carrying amount of right-of-use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3,201</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Inventory,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r>
      <w:tr>
        <w:trPr>
          <w:trHeight w:val="229"/>
        </w:trPr>
        <w:tc>
          <w:tcPr>
            <w:tcW w:w="778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Seller payable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4,582</w:t>
            </w:r>
          </w:p>
        </w:tc>
      </w:tr>
      <w:tr>
        <w:trPr>
          <w:trHeight w:val="229"/>
        </w:trPr>
        <w:tc>
          <w:tcPr>
            <w:tcW w:w="7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30"/>
        </w:trPr>
        <w:tc>
          <w:tcPr>
            <w:tcW w:w="77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(102,715)</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Maturities of marketable securities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35,830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 net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(15,207)</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(116,322)</w:t>
            </w:r>
          </w:p>
        </w:tc>
      </w:tr>
      <w:tr>
        <w:trPr>
          <w:trHeight w:val="20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debt, net of discount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4,625</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188"/>
        </w:trPr>
        <w:tc>
          <w:tcPr>
            <w:tcW w:w="7780" w:type="dxa"/>
            <w:vAlign w:val="bottom"/>
          </w:tcPr>
          <w:p>
            <w:pPr>
              <w:ind w:left="180"/>
              <w:spacing w:after="0" w:line="189" w:lineRule="exact"/>
              <w:rPr>
                <w:sz w:val="20"/>
                <w:szCs w:val="20"/>
                <w:color w:val="auto"/>
              </w:rPr>
            </w:pPr>
            <w:r>
              <w:rPr>
                <w:rFonts w:ascii="Arial" w:cs="Arial" w:eastAsia="Arial" w:hAnsi="Arial"/>
                <w:sz w:val="18"/>
                <w:szCs w:val="18"/>
                <w:color w:val="auto"/>
              </w:rPr>
              <w:t>Proceeds from issuance of Class A common stock, net of underwriting discounts and</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commissions</w:t>
            </w:r>
          </w:p>
        </w:tc>
        <w:tc>
          <w:tcPr>
            <w:tcW w:w="2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226,905</w:t>
            </w:r>
          </w:p>
        </w:tc>
      </w:tr>
      <w:tr>
        <w:trPr>
          <w:trHeight w:val="230"/>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costs for the initial public offering and the follow-on offering</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29"/>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related to vesting of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229,032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98,578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67,539</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166,117</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THREDUP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ThredUp Inc. (“thredUP” or the “Company”) was formed as a corporation in the State of Delaware in January 2009. thredUP is a large resale platform that enables consumers to buy and sell primarily secondhand women’s and kid’s apparel, shoes and accessories.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Basis of Presentation and Use of Estimates</w:t>
      </w:r>
    </w:p>
    <w:p>
      <w:pPr>
        <w:spacing w:after="0" w:line="135"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and Article 10 of Regulation S-X. As permitted under those rules, certain footnotes or other financial information can be condensed or omitted.</w:t>
      </w:r>
    </w:p>
    <w:p>
      <w:pPr>
        <w:spacing w:after="0" w:line="21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allowance for bad debts, breakage on loyalty points and rewards and valuation of inventory, stock-based compensation, right-of-use assets, goodwill and acquired intangibles and income taxes.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and recurring adjustments necessary to present fairly the financial position of the Company as of September 30, 2022, and the results of operations and cash flows for the interim periods presented.</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2021 (the “2021 10-K”).</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Reclassifications</w:t>
      </w:r>
    </w:p>
    <w:p>
      <w:pPr>
        <w:spacing w:after="0" w:line="13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Certain reclassifications were made to the prior period condensed consolidated statement of cash flows to conform to the current period presentation.</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This ASU changes the impairment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for most financial assets, requiring the use of an expected loss model which requires entities to estimate the lifetime expected credit loss on financial assets measured at amortized cost. Such credit losses will be recorded as an allowance to offset the amortized cost of the financial asset, resulting in a net presentation of the amount expected to be collected on the financial asset. In addition, credit losses relating to available-for-sale debt securities will now be recorded through an allowance for credit losses rather than as a direct write-down to the security. This standard is effective for fiscal years beginning after December 15, 2022, including interim periods within those fiscal years. The Company does not expect that the adoption of this standard will have a material impact on its condensed consolidated financial statements.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from Loyalty Reward Redemption and Expiration</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September 30, 2022 and December 31, 2021, the Company had a liability of $3.3 million and $4.0 million, respectively, related to its customer loyalty program, which is included in accrued and other current liabilities within the Company’s condensed consolidated balance sheets. The Company recognized revenue from loyalty reward redemption and expiration of $2.2 million and $3.6 million for the three months ended September 30, 2022 and 2021, respectively, and $7.4 million and $10.3 million for the nine months ended September 30, 2022 and 2021,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p>
      <w:pPr>
        <w:spacing w:after="0" w:line="244"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216"/>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84,550</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168"/>
        </w:trPr>
        <w:tc>
          <w:tcPr>
            <w:tcW w:w="5500" w:type="dxa"/>
            <w:vAlign w:val="bottom"/>
          </w:tcPr>
          <w:p>
            <w:pPr>
              <w:ind w:left="20"/>
              <w:spacing w:after="0" w:line="168" w:lineRule="exact"/>
              <w:rPr>
                <w:sz w:val="20"/>
                <w:szCs w:val="20"/>
                <w:color w:val="auto"/>
              </w:rPr>
            </w:pPr>
            <w:r>
              <w:rPr>
                <w:rFonts w:ascii="Arial" w:cs="Arial" w:eastAsia="Arial" w:hAnsi="Arial"/>
                <w:sz w:val="18"/>
                <w:szCs w:val="18"/>
                <w:color w:val="auto"/>
              </w:rPr>
              <w:t>Total cash, cash equivalents, and restricted cash shown in the</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44,100</w:t>
            </w:r>
          </w:p>
        </w:tc>
        <w:tc>
          <w:tcPr>
            <w:tcW w:w="100" w:type="dxa"/>
            <w:vAlign w:val="bottom"/>
          </w:tcPr>
          <w:p>
            <w:pPr>
              <w:spacing w:after="0"/>
              <w:rPr>
                <w:sz w:val="14"/>
                <w:szCs w:val="14"/>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91,840</w:t>
            </w:r>
          </w:p>
        </w:tc>
        <w:tc>
          <w:tcPr>
            <w:tcW w:w="0" w:type="dxa"/>
            <w:vAlign w:val="bottom"/>
          </w:tcPr>
          <w:p>
            <w:pPr>
              <w:spacing w:after="0"/>
              <w:rPr>
                <w:sz w:val="1"/>
                <w:szCs w:val="1"/>
                <w:color w:val="auto"/>
              </w:rPr>
            </w:pPr>
          </w:p>
        </w:tc>
      </w:tr>
      <w:tr>
        <w:trPr>
          <w:trHeight w:val="208"/>
        </w:trPr>
        <w:tc>
          <w:tcPr>
            <w:tcW w:w="5500" w:type="dxa"/>
            <w:vAlign w:val="bottom"/>
          </w:tcPr>
          <w:p>
            <w:pPr>
              <w:ind w:left="180"/>
              <w:spacing w:after="0" w:line="203" w:lineRule="exact"/>
              <w:rPr>
                <w:sz w:val="20"/>
                <w:szCs w:val="20"/>
                <w:color w:val="auto"/>
              </w:rPr>
            </w:pPr>
            <w:r>
              <w:rPr>
                <w:rFonts w:ascii="Arial" w:cs="Arial" w:eastAsia="Arial" w:hAnsi="Arial"/>
                <w:sz w:val="18"/>
                <w:szCs w:val="18"/>
                <w:color w:val="auto"/>
              </w:rPr>
              <w:t>statement of cash flows</w:t>
            </w:r>
          </w:p>
        </w:tc>
        <w:tc>
          <w:tcPr>
            <w:tcW w:w="2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The Company applies the provisions of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spacing w:after="0" w:line="90" w:lineRule="exact"/>
        <w:rPr>
          <w:sz w:val="20"/>
          <w:szCs w:val="20"/>
          <w:color w:val="auto"/>
        </w:rPr>
      </w:pPr>
    </w:p>
    <w:p>
      <w:pPr>
        <w:ind w:left="660" w:right="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 that the reporting entity has the ability to access at the measurement date.</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measures certain assets and liabilities at fair value as discussed throughout the notes to its condensed consolidated financial statements. As of both September 30, 2022 and December 31, 2021,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debt reflect current market conditions for an instrument with similar terms and maturity, and as such, the carrying value of the Company’s long-term debt approximated its fair value as of both September 30, 2022 and December 31, 2021.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Instruments and Fair Value Measurements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tables provide information about the Company’s financial instruments that are measured at fair value on a recurring basis and indicate the fair value hierarchy of the valuation techniques utilized to determine such values as of September 30, 2022 and December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43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r>
      <w:tr>
        <w:trPr>
          <w:trHeight w:val="230"/>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w:t>
            </w:r>
          </w:p>
        </w:tc>
      </w:tr>
      <w:tr>
        <w:trPr>
          <w:trHeight w:val="22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r>
      <w:tr>
        <w:trPr>
          <w:trHeight w:val="210"/>
        </w:trPr>
        <w:tc>
          <w:tcPr>
            <w:tcW w:w="43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29,073</w:t>
            </w: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24,955</w:t>
            </w:r>
          </w:p>
        </w:tc>
      </w:tr>
      <w:tr>
        <w:trPr>
          <w:trHeight w:val="223"/>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86,501</w:t>
            </w: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100,172</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35"/>
        </w:trPr>
        <w:tc>
          <w:tcPr>
            <w:tcW w:w="4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96"/>
        </w:trPr>
        <w:tc>
          <w:tcPr>
            <w:tcW w:w="4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r>
      <w:tr>
        <w:trPr>
          <w:trHeight w:val="229"/>
        </w:trPr>
        <w:tc>
          <w:tcPr>
            <w:tcW w:w="43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w:t>
            </w:r>
          </w:p>
        </w:tc>
      </w:tr>
      <w:tr>
        <w:trPr>
          <w:trHeight w:val="223"/>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53,474</w:t>
            </w:r>
          </w:p>
        </w:tc>
      </w:tr>
      <w:tr>
        <w:trPr>
          <w:trHeight w:val="210"/>
        </w:trPr>
        <w:tc>
          <w:tcPr>
            <w:tcW w:w="43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r>
      <w:tr>
        <w:trPr>
          <w:trHeight w:val="230"/>
        </w:trPr>
        <w:tc>
          <w:tcPr>
            <w:tcW w:w="4300" w:type="dxa"/>
            <w:vAlign w:val="bottom"/>
          </w:tcPr>
          <w:p>
            <w:pPr>
              <w:ind w:left="360"/>
              <w:spacing w:after="0"/>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37,190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37,190</w:t>
            </w:r>
          </w:p>
        </w:tc>
      </w:tr>
      <w:tr>
        <w:trPr>
          <w:trHeight w:val="229"/>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r>
      <w:tr>
        <w:trPr>
          <w:trHeight w:val="223"/>
        </w:trPr>
        <w:tc>
          <w:tcPr>
            <w:tcW w:w="4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marketable securities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121,277</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cost, gross unrealized gains, gross unrealized losses and fair value of the marketable securities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right="1120"/>
              <w:spacing w:after="0"/>
              <w:rPr>
                <w:sz w:val="20"/>
                <w:szCs w:val="20"/>
                <w:color w:val="auto"/>
              </w:rPr>
            </w:pPr>
            <w:r>
              <w:rPr>
                <w:rFonts w:ascii="Arial" w:cs="Arial" w:eastAsia="Arial" w:hAnsi="Arial"/>
                <w:sz w:val="14"/>
                <w:szCs w:val="14"/>
                <w:b w:val="1"/>
                <w:bCs w:val="1"/>
                <w:color w:val="auto"/>
              </w:rPr>
              <w:t>September 30, 2022</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5"/>
        </w:trPr>
        <w:tc>
          <w:tcPr>
            <w:tcW w:w="4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ind w:left="38"/>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7"/>
        </w:trPr>
        <w:tc>
          <w:tcPr>
            <w:tcW w:w="4300" w:type="dxa"/>
            <w:vAlign w:val="bottom"/>
          </w:tcPr>
          <w:p>
            <w:pPr>
              <w:spacing w:after="0"/>
              <w:rPr>
                <w:sz w:val="17"/>
                <w:szCs w:val="17"/>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Cost or Amortized Cost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gridSpan w:val="3"/>
          </w:tcPr>
          <w:p>
            <w:pPr>
              <w:jc w:val="center"/>
              <w:ind w:left="38"/>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32,984</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32,473</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29,596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29,073</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24,955</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88,133</w:t>
            </w:r>
          </w:p>
        </w:tc>
        <w:tc>
          <w:tcPr>
            <w:tcW w:w="8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86,501</w:t>
            </w:r>
          </w:p>
        </w:tc>
      </w:tr>
      <w:tr>
        <w:trPr>
          <w:trHeight w:val="21"/>
        </w:trPr>
        <w:tc>
          <w:tcPr>
            <w:tcW w:w="4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right="456"/>
              <w:spacing w:after="0"/>
              <w:rPr>
                <w:sz w:val="20"/>
                <w:szCs w:val="20"/>
                <w:color w:val="auto"/>
              </w:rPr>
            </w:pPr>
            <w:r>
              <w:rPr>
                <w:rFonts w:ascii="Arial" w:cs="Arial" w:eastAsia="Arial" w:hAnsi="Arial"/>
                <w:sz w:val="14"/>
                <w:szCs w:val="14"/>
                <w:b w:val="1"/>
                <w:bCs w:val="1"/>
                <w:color w:val="auto"/>
              </w:rPr>
              <w:t>December 31, 2021</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right="436"/>
              <w:spacing w:after="0"/>
              <w:rPr>
                <w:sz w:val="20"/>
                <w:szCs w:val="20"/>
                <w:color w:val="auto"/>
              </w:rPr>
            </w:pPr>
            <w:r>
              <w:rPr>
                <w:rFonts w:ascii="Arial" w:cs="Arial" w:eastAsia="Arial" w:hAnsi="Arial"/>
                <w:sz w:val="14"/>
                <w:szCs w:val="14"/>
                <w:b w:val="1"/>
                <w:bCs w:val="1"/>
                <w:color w:val="auto"/>
              </w:rPr>
              <w:t>Unrealized</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320" w:type="dxa"/>
            <w:vAlign w:val="bottom"/>
          </w:tcPr>
          <w:p>
            <w:pPr>
              <w:spacing w:after="0"/>
              <w:rPr>
                <w:sz w:val="17"/>
                <w:szCs w:val="17"/>
                <w:color w:val="auto"/>
              </w:rPr>
            </w:pPr>
          </w:p>
        </w:tc>
        <w:tc>
          <w:tcPr>
            <w:tcW w:w="17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Cost or Amortized Cost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Gains</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Losses</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40" w:type="dxa"/>
            <w:vAlign w:val="bottom"/>
            <w:gridSpan w:val="3"/>
          </w:tcPr>
          <w:p>
            <w:pPr>
              <w:jc w:val="center"/>
              <w:ind w:right="436"/>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37,286</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37,190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bonds</w:t>
            </w: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121,642</w:t>
            </w:r>
          </w:p>
        </w:tc>
        <w:tc>
          <w:tcPr>
            <w:tcW w:w="8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121,277</w:t>
            </w:r>
          </w:p>
        </w:tc>
      </w:tr>
      <w:tr>
        <w:trPr>
          <w:trHeight w:val="20"/>
        </w:trPr>
        <w:tc>
          <w:tcPr>
            <w:tcW w:w="4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September 30, 2022 and December 31, 2021, the Company’s cash equivalents approximated their estimated fair value. As such, there are no unrealized gains or losses related to the Company’s cash equivalents.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money market funds, U.S. treasury securities, corporate debt securities and U.S. government agency bonds were valued using Level 1 inputs because they are valued using quoted prices in active markets.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commercial paper is valued using Level 2 inputs because it is valued using quoted prices for similar assets or liabilities in active markets and quoted prices for identical or similar assets or liabilities in markets that are not active.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transfers between levels during the nine months ended September 30, 2022. As of September 30, 2022, of the $86.5 million carrying amount of marketable securities, $83.0 million had a contractual maturity date of less than one year and $3.5 million had a contractual maturity date between one to two years.</w:t>
      </w:r>
    </w:p>
    <w:p>
      <w:pPr>
        <w:sectPr>
          <w:pgSz w:w="11900" w:h="16838" w:orient="portrait"/>
          <w:cols w:equalWidth="0" w:num="1">
            <w:col w:w="11240"/>
          </w:cols>
          <w:pgMar w:left="320" w:top="140" w:right="33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528955</wp:posOffset>
            </wp:positionV>
            <wp:extent cx="57092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92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6350</wp:posOffset>
            </wp:positionV>
            <wp:extent cx="5709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9285" cy="171450"/>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r>
      <w:tr>
        <w:trPr>
          <w:trHeight w:val="184"/>
        </w:trPr>
        <w:tc>
          <w:tcPr>
            <w:tcW w:w="240" w:type="dxa"/>
            <w:vAlign w:val="bottom"/>
          </w:tcPr>
          <w:p>
            <w:pPr>
              <w:spacing w:after="0"/>
              <w:rPr>
                <w:sz w:val="16"/>
                <w:szCs w:val="16"/>
                <w:color w:val="auto"/>
              </w:rPr>
            </w:pPr>
          </w:p>
        </w:tc>
        <w:tc>
          <w:tcPr>
            <w:tcW w:w="3260" w:type="dxa"/>
            <w:vAlign w:val="bottom"/>
            <w:gridSpan w:val="4"/>
          </w:tcPr>
          <w:p>
            <w:pPr>
              <w:ind w:left="1060"/>
              <w:spacing w:after="0"/>
              <w:rPr>
                <w:sz w:val="20"/>
                <w:szCs w:val="20"/>
                <w:color w:val="auto"/>
              </w:rPr>
            </w:pPr>
            <w:r>
              <w:rPr>
                <w:rFonts w:ascii="Arial" w:cs="Arial" w:eastAsia="Arial" w:hAnsi="Arial"/>
                <w:sz w:val="14"/>
                <w:szCs w:val="14"/>
                <w:i w:val="1"/>
                <w:iCs w:val="1"/>
                <w:color w:val="auto"/>
              </w:rPr>
              <w:t>(in thousands)</w:t>
            </w:r>
          </w:p>
        </w:tc>
      </w:tr>
      <w:tr>
        <w:trPr>
          <w:trHeight w:val="242"/>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118,244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677"/>
              <w:spacing w:after="0"/>
              <w:rPr>
                <w:sz w:val="20"/>
                <w:szCs w:val="20"/>
                <w:color w:val="auto"/>
              </w:rPr>
            </w:pPr>
            <w:r>
              <w:rPr>
                <w:rFonts w:ascii="Arial" w:cs="Arial" w:eastAsia="Arial" w:hAnsi="Arial"/>
                <w:sz w:val="18"/>
                <w:szCs w:val="18"/>
                <w:color w:val="auto"/>
                <w:w w:val="98"/>
              </w:rPr>
              <w:t>76,028</w:t>
            </w:r>
          </w:p>
        </w:tc>
      </w:tr>
      <w:tr>
        <w:trPr>
          <w:trHeight w:val="230"/>
        </w:trPr>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rPr>
              <w:t>(20,562)</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677"/>
              <w:spacing w:after="0"/>
              <w:rPr>
                <w:sz w:val="20"/>
                <w:szCs w:val="20"/>
                <w:color w:val="auto"/>
              </w:rPr>
            </w:pPr>
            <w:r>
              <w:rPr>
                <w:rFonts w:ascii="Arial" w:cs="Arial" w:eastAsia="Arial" w:hAnsi="Arial"/>
                <w:sz w:val="18"/>
                <w:szCs w:val="18"/>
                <w:color w:val="auto"/>
                <w:w w:val="98"/>
              </w:rPr>
              <w:t>55,466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720"/>
            <w:col w:w="4620"/>
          </w:cols>
          <w:pgMar w:left="320" w:top="140" w:right="339" w:bottom="1440" w:gutter="0" w:footer="0" w:header="0"/>
          <w:type w:val="continuous"/>
        </w:sectPr>
      </w:pP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Depreciation and amortization expense of property and equipment was $2.9 million and $2.2 million for the three months ended September 30, 2022 and 2021, respectively, and $8.3 million and $6.1 million for the nine months ended September 30, 2022 and 2021,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Goodwill is primarily attributable to the planned growth in the combined business after the acquisition of Remix Global EAD (“Remix”). Goodwill is reviewed for impairment at least annually, absent any interim indicators of impairment. Goodwill was $10.6 million and $12.2 million as of September 30, 2022 and December 31, 2021, respectively. The decrease in goodwill during the nine months ended September 30, 2022 was due to foreign currency translation adjustments.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amounts and accumulated amortization of the Company’s intangible assets with determinable lives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September 30, 2022</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4"/>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December 31, 2021</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Amortization Period</w:t>
            </w:r>
          </w:p>
        </w:tc>
        <w:tc>
          <w:tcPr>
            <w:tcW w:w="80" w:type="dxa"/>
            <w:vAlign w:val="bottom"/>
            <w:vMerge w:val="restart"/>
          </w:tcPr>
          <w:p>
            <w:pPr>
              <w:spacing w:after="0"/>
              <w:rPr>
                <w:sz w:val="12"/>
                <w:szCs w:val="12"/>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years)</w:t>
            </w: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gross carrying amounts were due to foreign currency translation adjustments.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$0.6 million and zero for the three months ended September 30, 2022 and 2021, respectively, and $1.9 million and zero for the nine months ended September 30, 2022 and 2021,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consisted of the following:</w:t>
      </w: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60" w:type="dxa"/>
            <w:vAlign w:val="bottom"/>
          </w:tcPr>
          <w:p>
            <w:pPr>
              <w:jc w:val="center"/>
              <w:ind w:right="1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21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Accrued and other current liabilities consisted of the following:</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6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460" w:type="dxa"/>
            <w:vAlign w:val="bottom"/>
          </w:tcPr>
          <w:p>
            <w:pPr>
              <w:jc w:val="center"/>
              <w:ind w:right="15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21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35"/>
        </w:trPr>
        <w:tc>
          <w:tcPr>
            <w:tcW w:w="780" w:type="dxa"/>
            <w:vAlign w:val="bottom"/>
          </w:tcPr>
          <w:p>
            <w:pPr>
              <w:spacing w:after="0"/>
              <w:rPr>
                <w:sz w:val="20"/>
                <w:szCs w:val="20"/>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and site credit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returns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Accrued taxes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45,253</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2019, the Company entered into a loan and security agreement (“Term Loan”) with Western Alliance Bank for an aggregate amount of up to $40.0 million to refinance its prior loan and security agreement with Silicon Valley Bank. The Company incurred an immaterial amount of debt issuance costs in connection with the Term Loan. The debt issuance costs are recorded on the Company’s condensed consolidated balance sheet and are being amortized over the life of the Term Loan using the effective-interest method.</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Term Loan was subsequently amended several times, with the most recent amendment taking place in July 2022. As amended, the Term Loan matures on July 14, 2027 and provides for an aggregate borrowing amount of up to $70.0 million, which bears interest at the prime rate published in the Wall Street Journal plus a margin of 1.25%, with a floor of 6.00%. The Company incurred an immaterial amount of debt issuance costs in connection with the amendment. For accounting purposes, pursuant to FASB ASC Topic 470, </w:t>
      </w:r>
      <w:r>
        <w:rPr>
          <w:rFonts w:ascii="Arial" w:cs="Arial" w:eastAsia="Arial" w:hAnsi="Arial"/>
          <w:sz w:val="18"/>
          <w:szCs w:val="18"/>
          <w:i w:val="1"/>
          <w:iCs w:val="1"/>
          <w:color w:val="auto"/>
        </w:rPr>
        <w:t>Debt</w:t>
      </w:r>
      <w:r>
        <w:rPr>
          <w:rFonts w:ascii="Arial" w:cs="Arial" w:eastAsia="Arial" w:hAnsi="Arial"/>
          <w:sz w:val="18"/>
          <w:szCs w:val="18"/>
          <w:color w:val="auto"/>
        </w:rPr>
        <w:t>, this transaction was accounted for as a modification of the Term Loan. The debt issuance costs were recognized in interest expense within the Company’s condensed consolidated statement of operations during the third quarter of 2022.</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Term Loan requires the Company to comply with certain financial covenants, including, among other things, liquidity requirements,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September 30, 2022 and December 31, 2021, the Company was in compliance with its debt covenants under the Term Loan.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is payable in consecutive monthly installments. Interest is due monthly on amounts outstanding under the Term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also permitted to make voluntary prepayments without penalty or premium at any time.</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September 30, 2022 and December 31, 2021, the effective interest rate for borrowings under the Term Loan was 8.22% and 6.65%, respectively.</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nine months ended September 30, 2022, the Company borrowed an aggregate amount of $0.7 million under the Term Loan and repaid a total of $5.3 million on amounts outstanding under the Term Loan. During the nine months ended September 30, 2021, the Company borrowed an aggregate amount of $5.0 million under the Term Loan and repaid a total of $2.0 million on amounts outstanding under the Term Loan. As of September 30, 2022 and December 31, 2021, the amount outstanding under the Term Loan was $31.3 million and $36.0 million, respectively.</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three months ended September 30, 2022 and 2021, the Company recognized $0.1 million and $0.6 million, respectively, of interest expense relating to the Term Loan, which included $0.1 million and $0.1 million, respectively, relating to amortization of debt discount and issuance costs. During the nine months ended September 30, 2022 and 2021, the Company recognized $0.8 million and $1.8 million, respectively, of interest expense relating to the Term Loan, which included $0.3 million and $0.3 million, respectively, relating to amortization of debt discount and issuance costs.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2022, annual scheduled principal payments of the Term Loan were as follows:</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96"/>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196"/>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13"/>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14,333</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31,333</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Less: unamortized debt discount</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Non-current portion of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26,859</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Each share of Class A common stock is entitled to one vote per share. Each share of Class B common stock is entitled to ten votes per share and is convertible at any time into one share of Class A common stock.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Class A common stock and Class B common stock authorized, issued and outstanding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December 31, 2021:</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2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18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180" w:type="dxa"/>
            <w:vAlign w:val="bottom"/>
            <w:gridSpan w:val="3"/>
          </w:tcPr>
          <w:p>
            <w:pPr>
              <w:jc w:val="center"/>
              <w:ind w:left="1179"/>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69,887</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30,845</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560" w:type="dxa"/>
            <w:vAlign w:val="bottom"/>
          </w:tcPr>
          <w:p>
            <w:pPr>
              <w:spacing w:after="0"/>
              <w:rPr>
                <w:sz w:val="24"/>
                <w:szCs w:val="24"/>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2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rPr>
              <w:t>Issued and</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18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180" w:type="dxa"/>
            <w:vAlign w:val="bottom"/>
            <w:gridSpan w:val="3"/>
          </w:tcPr>
          <w:p>
            <w:pPr>
              <w:jc w:val="center"/>
              <w:ind w:left="1179"/>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57,779</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The Company has stock-based compensation plans, which are more fully described in Note 11, </w:t>
      </w:r>
      <w:r>
        <w:rPr>
          <w:rFonts w:ascii="Arial" w:cs="Arial" w:eastAsia="Arial" w:hAnsi="Arial"/>
          <w:sz w:val="18"/>
          <w:szCs w:val="18"/>
          <w:i w:val="1"/>
          <w:iCs w:val="1"/>
          <w:color w:val="auto"/>
        </w:rPr>
        <w:t>Stock-Based Compensation Plans</w:t>
      </w:r>
      <w:r>
        <w:rPr>
          <w:rFonts w:ascii="Arial" w:cs="Arial" w:eastAsia="Arial" w:hAnsi="Arial"/>
          <w:sz w:val="18"/>
          <w:szCs w:val="18"/>
          <w:color w:val="auto"/>
        </w:rPr>
        <w:t>, to the Consolidated Financial Statements included in the 2021 10-K. During the nine months ended September 30, 2022, the Company granted 10.2 million restricted stock unit awards with a weighted-average grant date fair value of $7.09 per award.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stock-based compensation expense by financial statement line item:</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1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6"/>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10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product and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180" w:right="8080" w:hanging="172"/>
        <w:spacing w:after="0" w:line="388" w:lineRule="auto"/>
        <w:tabs>
          <w:tab w:leader="none" w:pos="31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Legal Contingencies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Indemnifications</w:t>
      </w:r>
    </w:p>
    <w:p>
      <w:pPr>
        <w:spacing w:after="0" w:line="13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quarterly income tax provision reflects an estimate of the corresponding quarter’s state taxes in the United States. The provision for income tax expense for the three and nine months ended September 30, 2022 and 2021 was determined based upon estimates of the Company’s annual effective tax rate for the years ending December 31, 2022 and 2021, respectively. Since the Company is in a full valuation allowance position due to losses incurred since inception, the provision for taxes consists solely of certain state income taxes.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participating securities have been excluded from the computation of diluted loss per share for the periods presented because including them would have been anti-dilutive:</w:t>
      </w:r>
    </w:p>
    <w:p>
      <w:pPr>
        <w:spacing w:after="0" w:line="24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jc w:val="right"/>
              <w:ind w:right="255"/>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5560" w:type="dxa"/>
            <w:vAlign w:val="bottom"/>
          </w:tcPr>
          <w:p>
            <w:pPr>
              <w:spacing w:after="0"/>
              <w:rPr>
                <w:sz w:val="16"/>
                <w:szCs w:val="16"/>
                <w:color w:val="auto"/>
              </w:rPr>
            </w:pPr>
          </w:p>
        </w:tc>
        <w:tc>
          <w:tcPr>
            <w:tcW w:w="16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r>
      <w:tr>
        <w:trPr>
          <w:trHeight w:val="190"/>
        </w:trPr>
        <w:tc>
          <w:tcPr>
            <w:tcW w:w="5560" w:type="dxa"/>
            <w:vAlign w:val="bottom"/>
          </w:tcPr>
          <w:p>
            <w:pPr>
              <w:spacing w:after="0"/>
              <w:rPr>
                <w:sz w:val="16"/>
                <w:szCs w:val="16"/>
                <w:color w:val="auto"/>
              </w:rPr>
            </w:pPr>
          </w:p>
        </w:tc>
        <w:tc>
          <w:tcPr>
            <w:tcW w:w="3440" w:type="dxa"/>
            <w:vAlign w:val="bottom"/>
            <w:gridSpan w:val="3"/>
          </w:tcPr>
          <w:p>
            <w:pPr>
              <w:jc w:val="right"/>
              <w:ind w:right="1175"/>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8,693</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Delayed share issuance related to acquisition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Arial" w:cs="Arial" w:eastAsia="Arial" w:hAnsi="Arial"/>
          <w:sz w:val="18"/>
          <w:szCs w:val="18"/>
          <w:color w:val="auto"/>
        </w:rPr>
        <w:t>Financial Statements</w:t>
      </w:r>
      <w:r>
        <w:rPr>
          <w:rFonts w:ascii="Arial" w:cs="Arial" w:eastAsia="Arial" w:hAnsi="Arial"/>
          <w:sz w:val="18"/>
          <w:szCs w:val="18"/>
          <w:i w:val="1"/>
          <w:iCs w:val="1"/>
          <w:color w:val="auto"/>
        </w:rPr>
        <w:t xml:space="preserve">, of this Quarterly Report on Form 10-Q; Part I, Item 1A, </w:t>
      </w:r>
      <w:r>
        <w:rPr>
          <w:rFonts w:ascii="Arial" w:cs="Arial" w:eastAsia="Arial" w:hAnsi="Arial"/>
          <w:sz w:val="18"/>
          <w:szCs w:val="18"/>
          <w:color w:val="auto"/>
        </w:rPr>
        <w:t>Risk Factors</w:t>
      </w:r>
      <w:r>
        <w:rPr>
          <w:rFonts w:ascii="Arial" w:cs="Arial" w:eastAsia="Arial" w:hAnsi="Arial"/>
          <w:sz w:val="18"/>
          <w:szCs w:val="18"/>
          <w:i w:val="1"/>
          <w:iCs w:val="1"/>
          <w:color w:val="auto"/>
        </w:rPr>
        <w:t>, of this Quarterly Report on Form 10-Q; and our consolidated financial statements and related notes appearing in our Annual Report on Form 10-K for the year ended December 31, 2021 (the “2021 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 is one of the world’s largest online resale platforms for women’s and kids’ apparel, shoes and accessories. Our mission is to inspire a new generation of consumers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February 2022.</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thredUP’s proprietary operating platform is the foundation for our managed marketplace, where we have bridged online and offline technology to make the buying and selling of tens of millions of unique items easy and fun. The marketplace we have built enables buyers to browse and purchase resale items for primarily women’s and kids’ apparel, shoes and accessories across a wide range of price points. Buyers love shopping value, premium and luxury brands all in one place, at up to 90% off estimated retail price. Sellers love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2018, based on our success with consumers directly, we extended our platform to enable brands and retailers to participate in the resale economy. Some of the world’s leading brands and retailers are already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2021, we completed our acquisition of Remix Global EAD (“Remix”), a fashion resale company based in Sofia, Bulgaria. With this acquisition, we further expanded our reach to European customers, added a complementary operational infrastructure and added an experienced management team to enable our expansion into Europe. In addition, Remix’s product assortment extended our resale offering to include men’s items and items sourced from a variety of supply channels, such as wholesale supply.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COVID-19 Update</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ongoing COVID-19 pandemic and its varied social and macroeconomic consequences have continued to impact our business. Our performance has been adversely affected by market instability, supply chain disruptions, labor challenges caused by the pandemic and the U.S. government response to the COVID-19 pandemic, including the absence of any U.S. economic stimulus in 2022. If any of these conditions are sustained then our future results and performance may be be similarly adversely affected.</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nine months ended September 30, 2022, we experienced an increase in consumer demand partially due to the reduced severity of the COVID-19 pandemic and shift in consumer and lifestyle patterns. Gross margin and operating expenses were impacted due to rising labor, processing and other costs to support the consumer demand experienced to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COVID-19 pandemic and the ongoing recovery also contributed to a tightened labor supply. We continue to experience challenges in hiring and retaining employees in our distribution network. We have implemented compensation and benefits programs to attract potential employees and to improve employee retention. These programs caused, along with an inflationary labor market, higher Cost of Revenue and higher Operations, Product and Technology expenses and negatively impacted our results of operations.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expect that the COVID-19 pandemic will continue to have an adverse impact on our business, results of operations and financial condition, including our revenue and cash flows in the short term. Due to the unpredictable nature of the pandemic, it is difficult to predict the long-term impact on our business.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2021 10-K for further discussion of the possible impact of the COVID-19 pandemic on our business, operations and financial condition.</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w:t>
      </w:r>
    </w:p>
    <w:p>
      <w:pPr>
        <w:spacing w:after="0" w:line="13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Russia-Ukraine conflict and other geopolitical conflicts, as well as the related international response, have exacerbated inflationary pressures during the pandemic. We continue to actively monitor, evaluate and respond to developments relating to operational challenges in an inflationary environment. Global supply chain disruptions and the higher inflationary environment remain unpredictable and our past results may not be indicative of future performance.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In recent months, the U.S. dollar has been appreciating against major European currencies, including the Bulgarian lev, for both economic and geopolitical reasons. The strengthening U.S. dollar had a negative impact on our consolidated sales. We are managing the currency risk related to earnings through natural hedges and have offsetting costs relating to operating our business and a regional source of supply. Therefore, changes to exchange rates have not had a significant impact to our earnings. We continue to monitor our foreign exchange exposure as we grow our business globally. For further details, please refer to Part I, Item 3,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About Market Risk</w:t>
      </w:r>
      <w:r>
        <w:rPr>
          <w:rFonts w:ascii="Arial" w:cs="Arial" w:eastAsia="Arial" w:hAnsi="Arial"/>
          <w:sz w:val="18"/>
          <w:szCs w:val="18"/>
          <w:color w:val="auto"/>
        </w:rPr>
        <w:t>, of this Quarterly Report on Form 10-Q.</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second and third quarters of 2022, we restructured certain back-office functions to improve efficiencies and to reduce overhead costs. In addition, we closed our processing centers in Tennessee and Texas and consolidated their operations into our distribution center in Texas, which is under construction. These and future restructuring activities are expected to provide future growth and efficiency benefits; however, the actual results may differ.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Third Quarter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$67.9 million, an increase of 7.4% year-over-year.</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b w:val="1"/>
          <w:bCs w:val="1"/>
          <w:color w:val="auto"/>
        </w:rPr>
        <w:t xml:space="preserve">Gross Profit and Margin: </w:t>
      </w:r>
      <w:r>
        <w:rPr>
          <w:rFonts w:ascii="Arial" w:cs="Arial" w:eastAsia="Arial" w:hAnsi="Arial"/>
          <w:sz w:val="18"/>
          <w:szCs w:val="18"/>
          <w:color w:val="auto"/>
        </w:rPr>
        <w:t>Gross profit totaled $44.5 million, representing a decline of 3.5% year-over-year. Gross margin decreased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736 basis points to 65.5% from 72.8% in the comparable quarter last year.</w:t>
      </w:r>
    </w:p>
    <w:p>
      <w:pPr>
        <w:spacing w:after="0" w:line="15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$23.7 million, or a negative 34.8% of revenue, for the third quarter of 2022, compared to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$14.7 million for the third quarter of 2021.</w:t>
      </w:r>
    </w:p>
    <w:p>
      <w:pPr>
        <w:spacing w:after="0" w:line="1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loss was $11.0 million, or a negative 16.2% of revenue, for the third quarter of 2022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an Adjusted EBITDA loss of $7.8 million, or a negative 12.4% of revenue, for the third quarter of 2021.</w:t>
      </w:r>
    </w:p>
    <w:p>
      <w:pPr>
        <w:spacing w:after="0" w:line="153"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color w:val="auto"/>
        </w:rPr>
        <w:t xml:space="preserve">Active Buyers and Orders: </w:t>
      </w:r>
      <w:r>
        <w:rPr>
          <w:rFonts w:ascii="Arial" w:cs="Arial" w:eastAsia="Arial" w:hAnsi="Arial"/>
          <w:sz w:val="18"/>
          <w:szCs w:val="18"/>
          <w:color w:val="auto"/>
        </w:rPr>
        <w:t>Active Buyers totaled 1.7 million and Orders totaled 1.6 million in the third quarter of 2022,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growth of 17.7% and 24.5%, respectively, compared to the third quarter of 2021.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32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120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0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September 30,</w:t>
            </w: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40" w:type="dxa"/>
            <w:vAlign w:val="bottom"/>
            <w:gridSpan w:val="4"/>
          </w:tcPr>
          <w:p>
            <w:pPr>
              <w:jc w:val="right"/>
              <w:ind w:right="175"/>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Buyers (as of period end)</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1,694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1,439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1,694</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1,439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Orders</w:t>
            </w:r>
          </w:p>
        </w:tc>
        <w:tc>
          <w:tcPr>
            <w:tcW w:w="14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1,618</w:t>
            </w:r>
          </w:p>
        </w:tc>
        <w:tc>
          <w:tcPr>
            <w:tcW w:w="240" w:type="dxa"/>
            <w:vAlign w:val="bottom"/>
          </w:tcPr>
          <w:p>
            <w:pPr>
              <w:spacing w:after="0"/>
              <w:rPr>
                <w:sz w:val="19"/>
                <w:szCs w:val="19"/>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1,300</w:t>
            </w:r>
          </w:p>
        </w:tc>
        <w:tc>
          <w:tcPr>
            <w:tcW w:w="1200" w:type="dxa"/>
            <w:vAlign w:val="bottom"/>
          </w:tcPr>
          <w:p>
            <w:pPr>
              <w:jc w:val="right"/>
              <w:spacing w:after="0"/>
              <w:rPr>
                <w:sz w:val="20"/>
                <w:szCs w:val="20"/>
                <w:color w:val="auto"/>
              </w:rPr>
            </w:pPr>
            <w:r>
              <w:rPr>
                <w:rFonts w:ascii="Arial" w:cs="Arial" w:eastAsia="Arial" w:hAnsi="Arial"/>
                <w:sz w:val="18"/>
                <w:szCs w:val="18"/>
                <w:color w:val="auto"/>
              </w:rPr>
              <w:t>24.5 %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4,962</w:t>
            </w:r>
          </w:p>
        </w:tc>
        <w:tc>
          <w:tcPr>
            <w:tcW w:w="240" w:type="dxa"/>
            <w:vAlign w:val="bottom"/>
          </w:tcPr>
          <w:p>
            <w:pPr>
              <w:spacing w:after="0"/>
              <w:rPr>
                <w:sz w:val="19"/>
                <w:szCs w:val="19"/>
                <w:color w:val="auto"/>
              </w:rPr>
            </w:pPr>
          </w:p>
        </w:tc>
        <w:tc>
          <w:tcPr>
            <w:tcW w:w="1400" w:type="dxa"/>
            <w:vAlign w:val="bottom"/>
          </w:tcPr>
          <w:p>
            <w:pPr>
              <w:jc w:val="right"/>
              <w:ind w:right="355"/>
              <w:spacing w:after="0"/>
              <w:rPr>
                <w:sz w:val="20"/>
                <w:szCs w:val="20"/>
                <w:color w:val="auto"/>
              </w:rPr>
            </w:pPr>
            <w:r>
              <w:rPr>
                <w:rFonts w:ascii="Arial" w:cs="Arial" w:eastAsia="Arial" w:hAnsi="Arial"/>
                <w:sz w:val="18"/>
                <w:szCs w:val="18"/>
                <w:color w:val="auto"/>
              </w:rPr>
              <w:t>3,646</w:t>
            </w:r>
          </w:p>
        </w:tc>
        <w:tc>
          <w:tcPr>
            <w:tcW w:w="1120" w:type="dxa"/>
            <w:vAlign w:val="bottom"/>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(23,678)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(14,715)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(72,785)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(45,265)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(23.3)%</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(25.3)%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loss(1)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(11,041)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(7,816)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(37,545)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(25,971)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Adjusted EBITDA loss margin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auto"/>
              </w:rPr>
              <w:t>(12.4)%</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(14.5)%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42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(1) See below for a reconciliation of Adjusted EBITDA to net loss.</w:t>
      </w:r>
    </w:p>
    <w:p>
      <w:pPr>
        <w:spacing w:after="0" w:line="3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Active Buyers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Active Buyer is a thredUP buyer who has made at least one purchase in the last twelve months. A thredUP buyer is a customer who has created an account or purchased in our marketplaces, including through our RaaS clients, and is identified by a unique email address. A single person could have multiple thredUP accounts and count as multiple Active Buyers. The number of Active Buyers is a key driver of revenue for our marketplaces and we expect the number of Active Buyers to increase over time.</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Orders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Orders means the total number of orders placed by buyers across our marketplaces, including through our RaaS clients, in a given period, net of cancellations. We expect Orders to increase over time.</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EBITDA</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Adjusted EBITDA means net loss adjusted to exclude, where applicable in a given period, depreciation and amortization, stock-based compensation expense, interest expense, acquisition related expenses, restructuring charges, change in fair value of convertible preferred stock warrant liability and provision for income taxes. We use Adjusted EBITDA, a non-GAAP metric, to evaluate and assess our operating performance and the operating leverage in our business, and for internal planning and forecasting purposes. We believe that Adjusted EBITDA, when taken collectively with our GAAP results, may be helpful to investors because it provides consistency and comparability with past financial performance and assists in comparisons with other companies, some of which use similar non-GAAP financial information to supplement their GAAP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reconciliation of net loss to Adjusted EBITDA: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5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4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4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80" w:type="dxa"/>
            <w:vAlign w:val="bottom"/>
            <w:gridSpan w:val="5"/>
          </w:tcPr>
          <w:p>
            <w:pPr>
              <w:ind w:left="10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6"/>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(45,265)</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6,147</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2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4300" w:type="dxa"/>
            <w:vAlign w:val="bottom"/>
          </w:tcPr>
          <w:p>
            <w:pPr>
              <w:ind w:left="20"/>
              <w:spacing w:after="0" w:line="189" w:lineRule="exact"/>
              <w:rPr>
                <w:sz w:val="20"/>
                <w:szCs w:val="20"/>
                <w:color w:val="auto"/>
              </w:rPr>
            </w:pPr>
            <w:r>
              <w:rPr>
                <w:rFonts w:ascii="Arial" w:cs="Arial" w:eastAsia="Arial" w:hAnsi="Arial"/>
                <w:sz w:val="18"/>
                <w:szCs w:val="18"/>
                <w:color w:val="auto"/>
              </w:rPr>
              <w:t>Change in fair value of convertible preferred stock</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0"/>
        </w:trPr>
        <w:tc>
          <w:tcPr>
            <w:tcW w:w="430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2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930</w:t>
            </w: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loss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2022 and 2021</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60" w:type="dxa"/>
            <w:vAlign w:val="bottom"/>
            <w:gridSpan w:val="6"/>
          </w:tcPr>
          <w:p>
            <w:pPr>
              <w:ind w:left="16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41,553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48,071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137,524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141,356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1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26,392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15,203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4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73.6 %</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79,537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37,557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41,980</w:t>
            </w: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111.8 %</w:t>
            </w:r>
          </w:p>
        </w:tc>
        <w:tc>
          <w:tcPr>
            <w:tcW w:w="0" w:type="dxa"/>
            <w:vAlign w:val="bottom"/>
          </w:tcPr>
          <w:p>
            <w:pPr>
              <w:spacing w:after="0"/>
              <w:rPr>
                <w:sz w:val="1"/>
                <w:szCs w:val="1"/>
                <w:color w:val="auto"/>
              </w:rPr>
            </w:pPr>
          </w:p>
        </w:tc>
      </w:tr>
      <w:tr>
        <w:trPr>
          <w:trHeight w:val="248"/>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67,945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63,274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4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217,061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178,913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Arial" w:cs="Arial" w:eastAsia="Arial" w:hAnsi="Arial"/>
                <w:sz w:val="18"/>
                <w:szCs w:val="18"/>
                <w:color w:val="auto"/>
              </w:rPr>
              <w:t>Consignment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180"/>
              <w:spacing w:after="0" w:line="176" w:lineRule="exact"/>
              <w:rPr>
                <w:sz w:val="20"/>
                <w:szCs w:val="20"/>
                <w:color w:val="auto"/>
              </w:rPr>
            </w:pPr>
            <w:r>
              <w:rPr>
                <w:rFonts w:ascii="Arial" w:cs="Arial" w:eastAsia="Arial" w:hAnsi="Arial"/>
                <w:sz w:val="18"/>
                <w:szCs w:val="18"/>
                <w:color w:val="auto"/>
              </w:rPr>
              <w:t>revenue as a</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180"/>
              <w:spacing w:after="0" w:line="176" w:lineRule="exact"/>
              <w:rPr>
                <w:sz w:val="20"/>
                <w:szCs w:val="20"/>
                <w:color w:val="auto"/>
              </w:rPr>
            </w:pPr>
            <w:r>
              <w:rPr>
                <w:rFonts w:ascii="Arial" w:cs="Arial" w:eastAsia="Arial" w:hAnsi="Arial"/>
                <w:sz w:val="18"/>
                <w:szCs w:val="18"/>
                <w:color w:val="auto"/>
              </w:rPr>
              <w:t>percentage of</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Product revenue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as a</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percentage of</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revenue increased $4.7 million, or 7.4%, for the three months ended September 30, 2022 as compared to the same period in 2021. The increase was primarily attributable to the inclusion of our European operations beginning October 2021, which is included in product revenue, and resultant increases in total Orders and Active Buyers of 24.5% and 17.7%, respectively, partially offset by a decrease in U.S. revenue from lower Orders, higher returns and increased promotional strategy in response to the U.S. macroeconomic environment.</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Total revenue increased $38.1 million, or 21.3%, for the nine months ended September 30, 2022 as compared to the same period in 2021. The increase was primarily attributable to the inclusion of our European operations beginning October 2021, which is included in product revenue, and resultant increases in total Orders and Active Buyers of 36.1% and 17.7%, respectively.</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experienced slowing revenue and Order growth beginning in the back half of June 2022 and continuing into the third quarter that is attributable to various factors including, but not limited to, general global economic uncertainty, rising interest rates, increased inflation and weakening consumer discretionary spending.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Revenue</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80" w:type="dxa"/>
            <w:vAlign w:val="bottom"/>
            <w:gridSpan w:val="6"/>
          </w:tcPr>
          <w:p>
            <w:pPr>
              <w:ind w:left="180"/>
              <w:spacing w:after="0"/>
              <w:rPr>
                <w:sz w:val="20"/>
                <w:szCs w:val="20"/>
                <w:color w:val="auto"/>
              </w:rPr>
            </w:pPr>
            <w:r>
              <w:rPr>
                <w:rFonts w:ascii="Arial" w:cs="Arial" w:eastAsia="Arial" w:hAnsi="Arial"/>
                <w:sz w:val="14"/>
                <w:szCs w:val="14"/>
                <w:i w:val="1"/>
                <w:iCs w:val="1"/>
                <w:color w:val="auto"/>
              </w:rPr>
              <w:t>(in thousands, except percentages)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Cost of</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consignment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9,087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10,080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29,354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31,599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8"/>
        </w:trPr>
        <w:tc>
          <w:tcPr>
            <w:tcW w:w="1560" w:type="dxa"/>
            <w:vAlign w:val="bottom"/>
          </w:tcPr>
          <w:p>
            <w:pPr>
              <w:ind w:left="20"/>
              <w:spacing w:after="0" w:line="189" w:lineRule="exact"/>
              <w:rPr>
                <w:sz w:val="20"/>
                <w:szCs w:val="20"/>
                <w:color w:val="auto"/>
              </w:rPr>
            </w:pPr>
            <w:r>
              <w:rPr>
                <w:rFonts w:ascii="Arial" w:cs="Arial" w:eastAsia="Arial" w:hAnsi="Arial"/>
                <w:sz w:val="18"/>
                <w:szCs w:val="18"/>
                <w:color w:val="auto"/>
              </w:rPr>
              <w:t>Cost of product</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14,362</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7,100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4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102.3 %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40,335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17,370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22,965</w:t>
            </w:r>
          </w:p>
        </w:tc>
        <w:tc>
          <w:tcPr>
            <w:tcW w:w="4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132.2 %</w:t>
            </w:r>
          </w:p>
        </w:tc>
        <w:tc>
          <w:tcPr>
            <w:tcW w:w="0" w:type="dxa"/>
            <w:vAlign w:val="bottom"/>
          </w:tcPr>
          <w:p>
            <w:pPr>
              <w:spacing w:after="0"/>
              <w:rPr>
                <w:sz w:val="1"/>
                <w:szCs w:val="1"/>
                <w:color w:val="auto"/>
              </w:rPr>
            </w:pPr>
          </w:p>
        </w:tc>
      </w:tr>
      <w:tr>
        <w:trPr>
          <w:trHeight w:val="168"/>
        </w:trPr>
        <w:tc>
          <w:tcPr>
            <w:tcW w:w="156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cost of</w:t>
            </w:r>
          </w:p>
        </w:tc>
        <w:tc>
          <w:tcPr>
            <w:tcW w:w="2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23,449</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rPr>
              <w:t>17,180</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57"/>
              <w:spacing w:after="0"/>
              <w:rPr>
                <w:sz w:val="20"/>
                <w:szCs w:val="20"/>
                <w:color w:val="auto"/>
              </w:rPr>
            </w:pPr>
            <w:r>
              <w:rPr>
                <w:rFonts w:ascii="Arial" w:cs="Arial" w:eastAsia="Arial" w:hAnsi="Arial"/>
                <w:sz w:val="18"/>
                <w:szCs w:val="18"/>
                <w:color w:val="auto"/>
              </w:rPr>
              <w:t>69,689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color w:val="auto"/>
              </w:rPr>
              <w:t>48,969</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6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36.5 %</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tcPr>
          <w:p>
            <w:pPr>
              <w:ind w:left="20"/>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5"/>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44,496</w:t>
            </w:r>
          </w:p>
        </w:tc>
        <w:tc>
          <w:tcPr>
            <w:tcW w:w="80" w:type="dxa"/>
            <w:vAlign w:val="bottom"/>
          </w:tcPr>
          <w:p>
            <w:pPr>
              <w:spacing w:after="0"/>
              <w:rPr>
                <w:sz w:val="17"/>
                <w:szCs w:val="17"/>
                <w:color w:val="auto"/>
              </w:rPr>
            </w:pPr>
          </w:p>
        </w:tc>
        <w:tc>
          <w:tcPr>
            <w:tcW w:w="260" w:type="dxa"/>
            <w:vAlign w:val="bottom"/>
          </w:tcPr>
          <w:p>
            <w:pPr>
              <w:jc w:val="right"/>
              <w:ind w:right="55"/>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3"/>
              <w:spacing w:after="0" w:line="203" w:lineRule="exact"/>
              <w:rPr>
                <w:sz w:val="20"/>
                <w:szCs w:val="20"/>
                <w:color w:val="auto"/>
              </w:rPr>
            </w:pPr>
            <w:r>
              <w:rPr>
                <w:rFonts w:ascii="Arial" w:cs="Arial" w:eastAsia="Arial" w:hAnsi="Arial"/>
                <w:sz w:val="18"/>
                <w:szCs w:val="18"/>
                <w:color w:val="auto"/>
              </w:rPr>
              <w:t>46,094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(1,598)</w:t>
            </w:r>
          </w:p>
        </w:tc>
        <w:tc>
          <w:tcPr>
            <w:tcW w:w="4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7"/>
              <w:spacing w:after="0" w:line="203" w:lineRule="exact"/>
              <w:rPr>
                <w:sz w:val="20"/>
                <w:szCs w:val="20"/>
                <w:color w:val="auto"/>
              </w:rPr>
            </w:pPr>
            <w:r>
              <w:rPr>
                <w:rFonts w:ascii="Arial" w:cs="Arial" w:eastAsia="Arial" w:hAnsi="Arial"/>
                <w:sz w:val="18"/>
                <w:szCs w:val="18"/>
                <w:color w:val="auto"/>
              </w:rPr>
              <w:t>147,372</w:t>
            </w: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5"/>
              <w:spacing w:after="0" w:line="203" w:lineRule="exact"/>
              <w:rPr>
                <w:sz w:val="20"/>
                <w:szCs w:val="20"/>
                <w:color w:val="auto"/>
              </w:rPr>
            </w:pPr>
            <w:r>
              <w:rPr>
                <w:rFonts w:ascii="Arial" w:cs="Arial" w:eastAsia="Arial" w:hAnsi="Arial"/>
                <w:sz w:val="18"/>
                <w:szCs w:val="18"/>
                <w:color w:val="auto"/>
              </w:rPr>
              <w:t>129,944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17,428</w:t>
            </w:r>
          </w:p>
        </w:tc>
        <w:tc>
          <w:tcPr>
            <w:tcW w:w="4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Gross margin was 65.5% and 72.8% for the three months ended September 30, 2022 and 2021, respectively, or an unfavorable change of 736 basis points, and 67.9% and 72.6% for the nine months ended September 30, 2022 and 2021, respectively, or an unfavorable change of 474 basis points.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decrease in gross margin for the three and nine months ended September 30, 2022 was primarily due to the inclusion of operating results of our European operations from October 2021 onward. Revenue from our European operations is primarily derived from product sales with a lower gross margin. Consignment sales have a higher gross margin than product sales but made up a smaller percentage of total revenue for both the three and nine months ended September 30, 2022 as compared to the same periods in 2021. Revenue for consignment sales is recognized net of seller payouts and cost of items sold, whereas for product sales, seller payouts and cost of items sold are included as a component of cost of revenue.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Consignment Revenue</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tcPr>
          <w:p>
            <w:pPr>
              <w:jc w:val="right"/>
              <w:ind w:right="76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20" w:type="dxa"/>
            <w:vAlign w:val="bottom"/>
            <w:gridSpan w:val="2"/>
          </w:tcPr>
          <w:p>
            <w:pPr>
              <w:jc w:val="right"/>
              <w:ind w:right="59"/>
              <w:spacing w:after="0" w:line="148"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9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Amount</w:t>
            </w:r>
          </w:p>
        </w:tc>
        <w:tc>
          <w:tcPr>
            <w:tcW w:w="112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61"/>
              <w:spacing w:after="0" w:line="148"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1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2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40" w:type="dxa"/>
            <w:vAlign w:val="bottom"/>
            <w:gridSpan w:val="4"/>
          </w:tcPr>
          <w:p>
            <w:pPr>
              <w:jc w:val="right"/>
              <w:ind w:right="21"/>
              <w:spacing w:after="0"/>
              <w:rPr>
                <w:sz w:val="20"/>
                <w:szCs w:val="20"/>
                <w:color w:val="auto"/>
              </w:rPr>
            </w:pPr>
            <w:r>
              <w:rPr>
                <w:rFonts w:ascii="Arial" w:cs="Arial" w:eastAsia="Arial" w:hAnsi="Arial"/>
                <w:sz w:val="14"/>
                <w:szCs w:val="14"/>
                <w:i w:val="1"/>
                <w:iCs w:val="1"/>
                <w:color w:val="auto"/>
              </w:rPr>
              <w:t>(in thousands, except percentages)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Cost of</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consignment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9,087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10,080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(993)</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1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29,354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31,599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(2,245)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8"/>
        </w:trPr>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Consignment</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78.7 %</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Consignment gross margin was 78.1% and 79.0% for the three months ended September 30, 2022 and 2021, respectively, or an</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unfavorable change of 90 basis points, and 78.7% and 77.6% for the nine months ended September 30, 2022 and 2021, respectively, or a favorable change of 101 basis points.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decrease in consignment gross margin for the three months ended September 30, 2022 as compared to the same period in 2021 was primarily due to an unfavorable impact of outbound shipping of 49 basis points, unfavorable impact of direct labor of 27 basis points, and other unfavorable cost changes of 29 basis points, partially offset by a favorable impact of packaging of 15 basis points.</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increase in consignment gross margin for the nine months ended September 30, 2022 as compared to the same period in 2021 was primarily due to a favorable impact of outbound shipping of 222 basis points as a result of order consolidation and a favorable impact of packaging of 3 basis points, partially offset by an unfavorable impact of direct labor of 87 basis points and other unfavorable cost changes of 37 basis points.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Cost of Product Revenue</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September 30,</w:t>
            </w:r>
          </w:p>
        </w:tc>
        <w:tc>
          <w:tcPr>
            <w:tcW w:w="13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00" w:type="dxa"/>
            <w:vAlign w:val="bottom"/>
            <w:vMerge w:val="restart"/>
          </w:tcPr>
          <w:p>
            <w:pPr>
              <w:jc w:val="right"/>
              <w:ind w:right="624"/>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gridSpan w:val="5"/>
          </w:tcPr>
          <w:p>
            <w:pPr>
              <w:jc w:val="right"/>
              <w:ind w:right="659"/>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Cost of product</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14,362</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7,100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7,262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40,335</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17,370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22,965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132.2 %</w:t>
            </w:r>
          </w:p>
        </w:tc>
        <w:tc>
          <w:tcPr>
            <w:tcW w:w="0" w:type="dxa"/>
            <w:vAlign w:val="bottom"/>
          </w:tcPr>
          <w:p>
            <w:pPr>
              <w:spacing w:after="0"/>
              <w:rPr>
                <w:sz w:val="1"/>
                <w:szCs w:val="1"/>
                <w:color w:val="auto"/>
              </w:rPr>
            </w:pPr>
          </w:p>
        </w:tc>
      </w:tr>
      <w:tr>
        <w:trPr>
          <w:trHeight w:val="188"/>
        </w:trPr>
        <w:tc>
          <w:tcPr>
            <w:tcW w:w="1460" w:type="dxa"/>
            <w:vAlign w:val="bottom"/>
          </w:tcPr>
          <w:p>
            <w:pPr>
              <w:ind w:left="20"/>
              <w:spacing w:after="0" w:line="189" w:lineRule="exact"/>
              <w:rPr>
                <w:sz w:val="20"/>
                <w:szCs w:val="20"/>
                <w:color w:val="auto"/>
              </w:rPr>
            </w:pPr>
            <w:r>
              <w:rPr>
                <w:rFonts w:ascii="Arial" w:cs="Arial" w:eastAsia="Arial" w:hAnsi="Arial"/>
                <w:sz w:val="18"/>
                <w:szCs w:val="18"/>
                <w:color w:val="auto"/>
              </w:rPr>
              <w:t>Product gross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margin</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45.6 %</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49.3 %</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Product gross margin was 45.6% and 53.3% for the three months ended September 30, 2022 and 2021, respectively, or an unfavorable change of 772 basis points, and 49.3% and 53.8% for the nine months ended September 30, 2022 and 2021, respectively, or an unfavorable change of 446 basis points.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European operations, which have been included in our operating results beginning October 2021, have lower product gross margin mainly due to the capitalization of production costs into inventory.</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decrease in product gross margin for the three months ended September 30, 2022 as compared to the same period in 2021 was primarily due to the net unfavorable impact of including our European operations of 1,245 basis points, an unfavorable impact of packaging of 41 basis points, and an unfavorable impact of direct labor of 39 basis points, partially offset by a favorable impact of inventory costs of 450 basis points and a favorable impact of outbound shipping of 104 basis points.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decrease in product gross margin for the nine months ended September 30, 2022 as compared to the same period in 2021 was primarily due to the net unfavorable impact of including our European operations of 1,002 basis points, an unfavorable impact of direct labor of 81 basis points, and an unfavorable impact of packaging of 13 basis points, partially offset by a favorable impact of inventory costs of 395 basis points and a favorable impact of outbound shipping of 254 basis points.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Operations, Product and Technology</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40" w:type="dxa"/>
            <w:vAlign w:val="bottom"/>
            <w:gridSpan w:val="2"/>
          </w:tcPr>
          <w:p>
            <w:pPr>
              <w:jc w:val="right"/>
              <w:ind w:right="59"/>
              <w:spacing w:after="0" w:line="148"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00" w:type="dxa"/>
            <w:vAlign w:val="bottom"/>
            <w:vMerge w:val="restart"/>
          </w:tcPr>
          <w:p>
            <w:pPr>
              <w:jc w:val="right"/>
              <w:ind w:right="624"/>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81"/>
              <w:spacing w:after="0" w:line="148"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60"/>
              <w:spacing w:after="0" w:line="148"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5"/>
          </w:tcPr>
          <w:p>
            <w:pPr>
              <w:jc w:val="right"/>
              <w:ind w:right="61"/>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product and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38,702</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32,081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6,621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20.6 % $</w:t>
            </w:r>
          </w:p>
        </w:tc>
        <w:tc>
          <w:tcPr>
            <w:tcW w:w="11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121,824</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91,455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30,369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line="189" w:lineRule="exact"/>
              <w:rPr>
                <w:sz w:val="20"/>
                <w:szCs w:val="20"/>
                <w:color w:val="auto"/>
              </w:rPr>
            </w:pPr>
            <w:r>
              <w:rPr>
                <w:rFonts w:ascii="Arial" w:cs="Arial" w:eastAsia="Arial" w:hAnsi="Arial"/>
                <w:sz w:val="18"/>
                <w:szCs w:val="18"/>
                <w:color w:val="auto"/>
              </w:rPr>
              <w:t>Operations,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180"/>
              <w:spacing w:after="0" w:line="176" w:lineRule="exact"/>
              <w:rPr>
                <w:sz w:val="20"/>
                <w:szCs w:val="20"/>
                <w:color w:val="auto"/>
              </w:rPr>
            </w:pPr>
            <w:r>
              <w:rPr>
                <w:rFonts w:ascii="Arial" w:cs="Arial" w:eastAsia="Arial" w:hAnsi="Arial"/>
                <w:sz w:val="18"/>
                <w:szCs w:val="18"/>
                <w:color w:val="auto"/>
              </w:rPr>
              <w:t>product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20" w:type="dxa"/>
            <w:vAlign w:val="bottom"/>
          </w:tcPr>
          <w:p>
            <w:pPr>
              <w:ind w:left="180"/>
              <w:spacing w:after="0" w:line="176" w:lineRule="exact"/>
              <w:rPr>
                <w:sz w:val="20"/>
                <w:szCs w:val="20"/>
                <w:color w:val="auto"/>
              </w:rPr>
            </w:pPr>
            <w:r>
              <w:rPr>
                <w:rFonts w:ascii="Arial" w:cs="Arial" w:eastAsia="Arial" w:hAnsi="Arial"/>
                <w:sz w:val="18"/>
                <w:szCs w:val="18"/>
                <w:color w:val="auto"/>
              </w:rPr>
              <w:t>technology as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20" w:type="dxa"/>
            <w:vAlign w:val="bottom"/>
          </w:tcPr>
          <w:p>
            <w:pPr>
              <w:ind w:left="180"/>
              <w:spacing w:after="0" w:line="189" w:lineRule="exact"/>
              <w:rPr>
                <w:sz w:val="20"/>
                <w:szCs w:val="20"/>
                <w:color w:val="auto"/>
              </w:rPr>
            </w:pPr>
            <w:r>
              <w:rPr>
                <w:rFonts w:ascii="Arial" w:cs="Arial" w:eastAsia="Arial" w:hAnsi="Arial"/>
                <w:sz w:val="18"/>
                <w:szCs w:val="18"/>
                <w:color w:val="auto"/>
              </w:rPr>
              <w:t>a percentage</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180"/>
              <w:spacing w:after="0"/>
              <w:rPr>
                <w:sz w:val="20"/>
                <w:szCs w:val="20"/>
                <w:color w:val="auto"/>
              </w:rPr>
            </w:pPr>
            <w:r>
              <w:rPr>
                <w:rFonts w:ascii="Arial" w:cs="Arial" w:eastAsia="Arial" w:hAnsi="Arial"/>
                <w:sz w:val="18"/>
                <w:szCs w:val="18"/>
                <w:color w:val="auto"/>
              </w:rPr>
              <w:t>of total revenue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56.1 %</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product and technology expenses increased $6.6 million, or 20.6%, for the three months ended September 30, 2022 as compared to the same period in 2021. The increase was primarily due to a $2.1 million increase in facilities, technology and other allocated costs due to the expansion of our distribution network and European operations and a $3.3 million increase in personnel-related costs related to our European operations, restructuring, higher stock based compensation expense mainly from restricted stock vesting and expenses associated with our distribution network. In addition, we experienced a $1.2 million increase in inbound shipping and other costs due mainly to our European operations and increased bag processing and other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Operations, product and technology expenses increased $30.4 million, or 33.2%, for the nine months ended September 30, 2022 as compared to the same period in 2021. Personnel-related costs increased by $18.5 million due to our European operations, higher stock-based compensation expense from restricted stock vesting, expenses associated with our distribution network, restructuring and increase in employee salaries and wages. Facilities, technology and other allocated costs increased by $7.1 million due to expansion of our distribution network, our European operations and higher technology and other costs. In addition, inbound shipping and other expenses increased by $4.7 million due to our European operations, increased bag processing and other costs.</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40" w:type="dxa"/>
            <w:vAlign w:val="bottom"/>
            <w:gridSpan w:val="2"/>
          </w:tcPr>
          <w:p>
            <w:pPr>
              <w:jc w:val="right"/>
              <w:ind w:right="79"/>
              <w:spacing w:after="0" w:line="149"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20" w:type="dxa"/>
            <w:vAlign w:val="bottom"/>
            <w:vMerge w:val="restart"/>
          </w:tcPr>
          <w:p>
            <w:pPr>
              <w:jc w:val="right"/>
              <w:ind w:right="624"/>
              <w:spacing w:after="0"/>
              <w:rPr>
                <w:sz w:val="20"/>
                <w:szCs w:val="20"/>
                <w:color w:val="auto"/>
              </w:rPr>
            </w:pPr>
            <w:r>
              <w:rPr>
                <w:rFonts w:ascii="Arial" w:cs="Arial" w:eastAsia="Arial" w:hAnsi="Arial"/>
                <w:sz w:val="14"/>
                <w:szCs w:val="14"/>
                <w:b w:val="1"/>
                <w:bCs w:val="1"/>
                <w:color w:val="auto"/>
              </w:rPr>
              <w:t>Amount</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0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5"/>
          </w:tcPr>
          <w:p>
            <w:pPr>
              <w:jc w:val="right"/>
              <w:ind w:right="99"/>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14,752</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16,941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404"/>
              <w:spacing w:after="0"/>
              <w:rPr>
                <w:sz w:val="20"/>
                <w:szCs w:val="20"/>
                <w:color w:val="auto"/>
              </w:rPr>
            </w:pPr>
            <w:r>
              <w:rPr>
                <w:rFonts w:ascii="Arial" w:cs="Arial" w:eastAsia="Arial" w:hAnsi="Arial"/>
                <w:sz w:val="18"/>
                <w:szCs w:val="18"/>
                <w:color w:val="auto"/>
              </w:rPr>
              <w:t>(2,189)</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51,370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48,344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3,026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line="189" w:lineRule="exact"/>
              <w:rPr>
                <w:sz w:val="20"/>
                <w:szCs w:val="20"/>
                <w:color w:val="auto"/>
              </w:rPr>
            </w:pPr>
            <w:r>
              <w:rPr>
                <w:rFonts w:ascii="Arial" w:cs="Arial" w:eastAsia="Arial" w:hAnsi="Arial"/>
                <w:sz w:val="18"/>
                <w:szCs w:val="18"/>
                <w:color w:val="auto"/>
              </w:rPr>
              <w:t>Marketing as a</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tcPr>
          <w:p>
            <w:pPr>
              <w:ind w:left="180"/>
              <w:spacing w:after="0" w:line="189" w:lineRule="exact"/>
              <w:rPr>
                <w:sz w:val="20"/>
                <w:szCs w:val="20"/>
                <w:color w:val="auto"/>
              </w:rPr>
            </w:pPr>
            <w:r>
              <w:rPr>
                <w:rFonts w:ascii="Arial" w:cs="Arial" w:eastAsia="Arial" w:hAnsi="Arial"/>
                <w:sz w:val="18"/>
                <w:szCs w:val="18"/>
                <w:color w:val="auto"/>
              </w:rPr>
              <w:t>percentage of</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Marketing expenses decreased $2.2 million, or 12.9%, for the three months ended September 30, 2022 as compared to the same period in 2021. The decrease was primarily due to a $4.1 million decrease in marketing and advertising costs, partially offset by a $1.1 million increase in personnel-related costs related to salaries, stock compensation, restructuring and other expenses, a $0.6 million increase in technology and other costs, and a $0.2 million increase in professional services.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Marketing expenses increased $3.0 million, or 6.3%, for the nine months ended September 30, 2022 as compared to the same period in 2021. The increase was primarily due to a $3.0 million increase in personnel-related costs related to salaries, stock compensation and other expenses, a $1.3 million increase in technology and other costs, and a $0.6 million increase in professional services, partially offset by a $1.9 million decrease in marketing and advertising costs.</w:t>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Sales, General and Administrative</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220" w:type="dxa"/>
            <w:vAlign w:val="bottom"/>
            <w:gridSpan w:val="2"/>
          </w:tcPr>
          <w:p>
            <w:pPr>
              <w:jc w:val="right"/>
              <w:ind w:right="59"/>
              <w:spacing w:after="0" w:line="149" w:lineRule="exact"/>
              <w:rPr>
                <w:sz w:val="20"/>
                <w:szCs w:val="20"/>
                <w:color w:val="auto"/>
              </w:rPr>
            </w:pPr>
            <w:r>
              <w:rPr>
                <w:rFonts w:ascii="Arial" w:cs="Arial" w:eastAsia="Arial" w:hAnsi="Arial"/>
                <w:sz w:val="14"/>
                <w:szCs w:val="14"/>
                <w:b w:val="1"/>
                <w:bCs w:val="1"/>
                <w:color w:val="auto"/>
              </w:rPr>
              <w:t>September 30,</w:t>
            </w:r>
          </w:p>
        </w:tc>
        <w:tc>
          <w:tcPr>
            <w:tcW w:w="13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300" w:type="dxa"/>
            <w:vAlign w:val="bottom"/>
            <w:vMerge w:val="restart"/>
          </w:tcPr>
          <w:p>
            <w:pPr>
              <w:jc w:val="right"/>
              <w:ind w:right="604"/>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79"/>
              <w:spacing w:after="0" w:line="149"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5"/>
          </w:tcPr>
          <w:p>
            <w:pPr>
              <w:jc w:val="center"/>
              <w:ind w:right="279"/>
              <w:spacing w:after="0"/>
              <w:rPr>
                <w:sz w:val="20"/>
                <w:szCs w:val="20"/>
                <w:color w:val="auto"/>
              </w:rPr>
            </w:pPr>
            <w:r>
              <w:rPr>
                <w:rFonts w:ascii="Arial" w:cs="Arial" w:eastAsia="Arial" w:hAnsi="Arial"/>
                <w:sz w:val="14"/>
                <w:szCs w:val="14"/>
                <w:i w:val="1"/>
                <w:iCs w:val="1"/>
                <w:color w:val="auto"/>
              </w:rPr>
              <w:t>(in thousands, except percentages)</w:t>
            </w: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5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and</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15,232</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12,569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2,663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47,276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34,206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13,070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02"/>
        </w:trPr>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Sales, general</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80"/>
              <w:spacing w:after="0" w:line="176" w:lineRule="exact"/>
              <w:rPr>
                <w:sz w:val="20"/>
                <w:szCs w:val="20"/>
                <w:color w:val="auto"/>
              </w:rPr>
            </w:pPr>
            <w:r>
              <w:rPr>
                <w:rFonts w:ascii="Arial" w:cs="Arial" w:eastAsia="Arial" w:hAnsi="Arial"/>
                <w:sz w:val="18"/>
                <w:szCs w:val="18"/>
                <w:color w:val="auto"/>
              </w:rPr>
              <w:t>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ind w:left="180"/>
              <w:spacing w:after="0" w:line="176" w:lineRule="exact"/>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180"/>
              <w:spacing w:after="0" w:line="189" w:lineRule="exact"/>
              <w:rPr>
                <w:sz w:val="20"/>
                <w:szCs w:val="20"/>
                <w:color w:val="auto"/>
              </w:rPr>
            </w:pPr>
            <w:r>
              <w:rPr>
                <w:rFonts w:ascii="Arial" w:cs="Arial" w:eastAsia="Arial" w:hAnsi="Arial"/>
                <w:sz w:val="18"/>
                <w:szCs w:val="18"/>
                <w:color w:val="auto"/>
              </w:rPr>
              <w:t>as a percentage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80" w:type="dxa"/>
            <w:vAlign w:val="bottom"/>
          </w:tcPr>
          <w:p>
            <w:pPr>
              <w:ind w:left="180"/>
              <w:spacing w:after="0"/>
              <w:rPr>
                <w:sz w:val="20"/>
                <w:szCs w:val="20"/>
                <w:color w:val="auto"/>
              </w:rPr>
            </w:pPr>
            <w:r>
              <w:rPr>
                <w:rFonts w:ascii="Arial" w:cs="Arial" w:eastAsia="Arial" w:hAnsi="Arial"/>
                <w:sz w:val="18"/>
                <w:szCs w:val="18"/>
                <w:color w:val="auto"/>
              </w:rPr>
              <w:t>of total revenue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22.4 %</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Sales, general and administrative expenses increased $2.7 million, or 21.2%, for the three months ended September 30, 2022 as compared to the same period in 2021. The increase was primarily due to a $4.6 million increase in personnel-related costs related to salaries, stock compensation, restructuring, our European operations and other costs, partially offset by a $1.8 million decrease in professional services due to expenses related to our follow-on offering incurred in 2021 and the impact of cost savings initiatives in 2022, and a $0.2 million decrease in other costs.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Sales, general and administrative expenses increased $13.1 million, or 38.2%, for the nine months ended September 30, 2022 as compared to the same period in 2021. The increase was primarily due to an $12.2 million increase in personnel-related costs related to salaries, stock compensation, restructuring, our European operations and other personnel costs and a $2.8 million increase in technology, payment processing, insurance, workplace and other costs, partially offset by a $1.9 million decrease in tax and professional fee expenses.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We have historically generated negative cash flows from operations and have primarily financed our operations through private and public sales of equity securities and debt. As of September 30, 2022, we had cash, cash equivalents and short-term marketable securities of $123.2 million. Additionally, we have a term loan facility (“Term Loan”) under which $ 38.0 million remained available to be drawn as of September 30, 2022 and we were in full compliance with our debt covenants under the Term Loan as of that date. See Note 7,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Condensed Consolidated Financial Statements included in Part I, Item 1,</w:t>
      </w:r>
      <w:r>
        <w:rPr>
          <w:rFonts w:ascii="Arial" w:cs="Arial" w:eastAsia="Arial" w:hAnsi="Arial"/>
          <w:sz w:val="18"/>
          <w:szCs w:val="18"/>
          <w:i w:val="1"/>
          <w:iCs w:val="1"/>
          <w:color w:val="auto"/>
        </w:rPr>
        <w:t xml:space="preserve"> Financial Statements</w:t>
      </w:r>
      <w:r>
        <w:rPr>
          <w:rFonts w:ascii="Arial" w:cs="Arial" w:eastAsia="Arial" w:hAnsi="Arial"/>
          <w:sz w:val="18"/>
          <w:szCs w:val="18"/>
          <w:color w:val="auto"/>
        </w:rPr>
        <w:t>, of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a further discussion on our Term Loan.</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operating losses and negative cash flows from operations to continue into the foreseeable future as we continue to invest in growing our business and expanding our infrastructure. Our primary use of cash includes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and may be accelerated or delayed based on our operating position and business needs. Based upon our current operating plans, we believe that our existing cash, cash equivalents and short-term marketable securities will be sufficient to meet our short- and long-term capital requirements and we do not anticipate expanding our distribution network to include additional locations in the near term. Our forecast of the period of time through which our financial resources will be adequate to support our operations is a forward-looking statement that involves risks and uncertainties, and actual results could vary materially.</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future capital requirements will depend on many factors, including, but not limited to the timing of our increased distribution center automation and expansion plans to support planned revenue growth, the expansion of sales and marketing activities, the potential introduction of new offerings and new RaaS clients, the continuing growth of our marketplace and overall economic conditions. We may seek additional equity or debt financing. If we raise equity financing, our stockholders may experience significant dilution of their ownership interests. If we conduct an additional debt financing, the terms of such debt financing may be similar or more restrictive than our current Term Loan, and we would have additional debt service obligations. In the event that additional financing is required from outside sources, we may not be able to raise it on terms acceptable to us or at all. If we are unable to raise additional capital when desired, our business, financial condition and results of operations could be harmed.</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5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995"/>
              <w:spacing w:after="0"/>
              <w:rPr>
                <w:sz w:val="20"/>
                <w:szCs w:val="20"/>
                <w:color w:val="auto"/>
              </w:rPr>
            </w:pPr>
            <w:r>
              <w:rPr>
                <w:rFonts w:ascii="Arial" w:cs="Arial" w:eastAsia="Arial" w:hAnsi="Arial"/>
                <w:sz w:val="14"/>
                <w:szCs w:val="14"/>
                <w:b w:val="1"/>
                <w:bCs w:val="1"/>
                <w:color w:val="auto"/>
              </w:rPr>
              <w:t>Nine Months Ended</w:t>
            </w:r>
          </w:p>
        </w:tc>
      </w:tr>
      <w:tr>
        <w:trPr>
          <w:trHeight w:val="148"/>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4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215"/>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55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(36,939)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(14,132)</w:t>
            </w: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(116,322)</w:t>
            </w: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229,032</w:t>
            </w:r>
          </w:p>
        </w:tc>
      </w:tr>
      <w:tr>
        <w:trPr>
          <w:trHeight w:val="188"/>
        </w:trPr>
        <w:tc>
          <w:tcPr>
            <w:tcW w:w="5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Effect of exchange rate changes on cash, cash equivalents and</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98,578</w:t>
            </w:r>
          </w:p>
        </w:tc>
      </w:tr>
      <w:tr>
        <w:trPr>
          <w:trHeight w:val="21"/>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Operating Activities</w:t>
      </w:r>
    </w:p>
    <w:p>
      <w:pPr>
        <w:spacing w:after="0" w:line="117" w:lineRule="exact"/>
        <w:rPr>
          <w:sz w:val="20"/>
          <w:szCs w:val="20"/>
          <w:color w:val="auto"/>
        </w:rPr>
      </w:pPr>
    </w:p>
    <w:p>
      <w:pPr>
        <w:jc w:val="both"/>
        <w:ind w:left="180" w:firstLine="324"/>
        <w:spacing w:after="0" w:line="252" w:lineRule="auto"/>
        <w:rPr>
          <w:sz w:val="20"/>
          <w:szCs w:val="20"/>
          <w:color w:val="auto"/>
        </w:rPr>
      </w:pPr>
      <w:r>
        <w:rPr>
          <w:rFonts w:ascii="Arial" w:cs="Arial" w:eastAsia="Arial" w:hAnsi="Arial"/>
          <w:sz w:val="18"/>
          <w:szCs w:val="18"/>
          <w:color w:val="auto"/>
        </w:rPr>
        <w:t>For the nine months ended September 30, 2022, net cash used in operating activities increased by $22.8 million and was $36.9 million compared to $14.1 million for the same period in 2021. The increase in net cash used in operating activities was partially the result of a $27.5 million increase in net loss for the nine months ended September 30, 2022 as compared to the same period in 2021. This was offset by non-cash increases in stock based compensation of $11.4 million due to higher restricted stock vesting, depreciation and amortization of $4.1 million due to intangibles relating to the Remix acquisition, capital and infrastructure investments, and reduction in the carrying amount of right of use assets of $1.6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Net cash used in operating activities further decreased due to a $12.0 million decrease in flows from operating assets and liabilities. The increase in net cash used in operating activities was due to build of inventory in 2022 to meet European seasonal demand and higher owned inventory in the U.S and reduction in accounts payable, accrued liabilities and seller payable flows due to timing and reduction in spend, offset by flows from other current and non-current assets due to growth of prepaid expenses in 2021 and inflow from operating lease liabilities resulting from lease incentives.</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Investing Activities</w:t>
      </w:r>
    </w:p>
    <w:p>
      <w:pPr>
        <w:spacing w:after="0" w:line="117"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For the nine months ended September 30, 2022, net cash used in investing activities decreased by $ 109.4 million and was $7.0 million compared to $116.3 million for the same period in 2021. The decrease in net cash used in investing activities during the nine months ended September 30, 2022 was primarily due a $ 133.5 million decrease in net cash used to purchase marketable securities and provided by marketable security maturities. The change in net cash from marketable securities was partially offset by an increase in purchases of property and equipment of $24.2 million.</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Cash Flows from Financing Activities</w:t>
      </w:r>
    </w:p>
    <w:p>
      <w:pPr>
        <w:spacing w:after="0" w:line="117" w:lineRule="exact"/>
        <w:rPr>
          <w:sz w:val="20"/>
          <w:szCs w:val="20"/>
          <w:color w:val="auto"/>
        </w:rPr>
      </w:pPr>
    </w:p>
    <w:p>
      <w:pPr>
        <w:jc w:val="both"/>
        <w:ind w:left="180" w:firstLine="324"/>
        <w:spacing w:after="0" w:line="253" w:lineRule="auto"/>
        <w:rPr>
          <w:sz w:val="20"/>
          <w:szCs w:val="20"/>
          <w:color w:val="auto"/>
        </w:rPr>
      </w:pPr>
      <w:r>
        <w:rPr>
          <w:rFonts w:ascii="Arial" w:cs="Arial" w:eastAsia="Arial" w:hAnsi="Arial"/>
          <w:sz w:val="18"/>
          <w:szCs w:val="18"/>
          <w:color w:val="auto"/>
        </w:rPr>
        <w:t>For the nine months ended September 30, 2022, net cash used in financing activities decreased by $232.0 million and was $2.9 million net cash used as compared to net cash provided by financing activities of $229.0 million for the same period in 2021. The increase in net cash used in financing activities during the nine months ended September 30, 2022 was primarily due to $222.7 million decrease in equity offerings and payments of offering transaction costs, an increase in net debt payments of $7.5 million and an increase in tax withholding related to vested restricted stock of $1.9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There have been no material changes to our critical accounting policies since the 2021 10-K. For a description of critical accounting policies that affect our significant judgments and estimates used in the preparation of our condensed consolidated financial statements, see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the 2021 10-K.</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JOBS Act Accounting Election</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spacing w:after="0" w:line="29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See discussion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to the Condensed Consolidated Financial Statements included in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Quarterly Report on Form 10-Q for information on new accounting pronouncements.</w:t>
      </w:r>
    </w:p>
    <w:p>
      <w:pPr>
        <w:spacing w:after="0" w:line="2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September 30, 2022, we had cash and cash equivalents of $36.7 million and marketable securities of $86.5 million, consisting primarily of money market funds, commercial paper, corporate debt securities,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Term Loan bears variable interest rates tied to the prime rate, with a floor of 6.00%, and therefore carry interest rate risk. If interest rates were to increase or decrease by 1% for the year and our borrowing amounts on the Term Loan remained constant, our annual interest expense could increase or decrease by approximately $0.3 million, respectively.</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Inflation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recent months, inflation has increased significantly in the U.S. and overseas where we conduct our business, resulting in rising interest rates, fuel, labor and processing, freight and other costs that have affected our gross margin and operating expenses. We do not believe that inflation has had a material effect on our business, financial condition, or results of operations to date. However, these increases could negatively impact our business by driving up our operating and borrowing costs. Although difficult to quantify, we believe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transact business in Europe through Remix in multiple currencies. As a result, our operating results, cash flows and net investment in Remix are subject to fluctuations due to changes in foreign currency exchange rates. As of September 30, 2022,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unfavorable foreign currency translation adjustment of $5.3 million during the nine months ended September 30, 2022, which was recognized in accumulated other comprehensive loss within our condensed consolidated balance sheet.</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hypothetical 10% change in foreign currency exchange rates would not have had a material impact on our financial condition or results of operations during any of the periods presented.</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(“Exchange Act”) as of the end of the period covered by this report.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 Further, no evaluation of control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of the material weakness in our internal control over financial reporting discussed below, our Chief Executive Officer and Chief Financial Officer concluded that, as of September 30, 2022, our disclosure controls and procedures were not effective. In light of this fact, our management, including our Chief Executive Officer and Chief Financial Officer, has put in place processes and controls and other post-closing procedures and has concluded that, notwithstanding the material weakness in our internal control over financial reporting, the unaudited interim condensed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Previously Reported Material Weaknesses in Internal Control Over Financial Reporting</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previously disclosed in the 2021 10-K, in connection with the audit of our financial statements for the fiscal years ended December 31, 2021, 2020, 2019 and 2018 we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material weakness related to the following control deficiencies:</w:t>
      </w:r>
    </w:p>
    <w:p>
      <w:pPr>
        <w:spacing w:after="0" w:line="117" w:lineRule="exact"/>
        <w:rPr>
          <w:sz w:val="20"/>
          <w:szCs w:val="20"/>
          <w:color w:val="auto"/>
        </w:rPr>
      </w:pPr>
    </w:p>
    <w:p>
      <w:pPr>
        <w:jc w:val="both"/>
        <w:ind w:left="6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design and maintain effective control over our accounting and proprietary data systems used in our financial reporting process. These systems lacked controls over user access, program change management, computer operation and data validation to ensure that IT program and data changes affecting financial accounting applications and underlying accounting records are identified, tested, authorized and implemented appropriately.</w:t>
      </w:r>
    </w:p>
    <w:p>
      <w:pPr>
        <w:spacing w:after="0" w:line="9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and we did not maintain a sufficient complement of accounting personnel to ensure: (i) the appropriate segregation of duties in the preparation and review of account reconciliations and journal entries, and (ii) account reconciliations were prepared and reviewed at the appropriate level of precision on a consistent and timely basis.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deficiencies described above, if not remediated, could result in a misstatement of one or more account balances or disclosures in our annual or interim consolidated financial statements that would not be prevented or detected, and, accordingly, we determined that these control deficiencies constitute a material weakness.</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Remediation Plans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address our material weakness, we have added accounting, finance and information technology personnel and implemented new financial accounting processes, controls, and systems. We are continuing to take steps to remediate the material weakness described above through implementing enhancements and controls within our accounting and proprietary systems, hiring additional qualified accounting, finance and information technology resources and further evolving our accounting and quarterly close processes. We will not be able to fully remediate these control deficiencies until these steps have been completed and the controls have been operating effectively for a sufficient period of time.</w:t>
      </w:r>
    </w:p>
    <w:p>
      <w:pPr>
        <w:spacing w:after="0" w:line="2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as described above. Except as described above, there was not any change in our internal control over financial reporting (as such term is defined in Rules 13a-15(f) and 15d-15(f) under the Exchange Act)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2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Risks affecting our business are discussed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Annual Report on Form 10-K for the year ended December 31, 2021 (“2021 10-K”) and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Quarterly Report on Form 10-Q for the quarter ended June 30, 2022 (“Q2 2022 10-Q”). There have been no material changes to our risk factors as previously disclosed in our 2021 10-K and Q2 2022 10-Q.</w:t>
      </w:r>
    </w:p>
    <w:p>
      <w:pPr>
        <w:spacing w:after="0" w:line="28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39"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jc w:val="both"/>
        <w:ind w:left="660" w:hanging="328"/>
        <w:spacing w:after="0" w:line="252"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30, 2021, we closed our IPO, in which we sold 13,800,000 shares of our Class A common stock at an offering price of $14.00 per share, including 1,800,000 shares pursuant to the exercise of the underwriters’ option to purchase additional shares of our Class A common stock, resulting in net proceeds to us of $175.5 million after deducting offering costs, underwriting discounts and commissions of $17.7 million. All of the shares offered, issued and sold in our IPO were registered under the Securities Act pursuant to a registration statement on Form S-1 (File No. 333-253834), which was declared effective by the SEC on March 25, 2021. There has been no material change in the planned use of proceeds from the IPO as disclosed in our final prospectus filed pursuant to Rule 424(b) on March 26, 2021.</w:t>
      </w:r>
    </w:p>
    <w:p>
      <w:pPr>
        <w:spacing w:after="0" w:line="98"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On August 2, 2021, the Company issued and sold 2,000,000 shares of Class A common stock at a price of $24.25 per share in a registered public offering. The aggregate net proceeds were $45.5 million, after deducting $3.3 million of underwriting discounts and commissions and offering costs. There has been no material change in the planned use of proceeds from the registered public offering completed in August 2021.</w:t>
      </w:r>
    </w:p>
    <w:p>
      <w:pPr>
        <w:spacing w:after="0" w:line="95"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 Index: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633"/>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5"/>
        </w:trPr>
        <w:tc>
          <w:tcPr>
            <w:tcW w:w="11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780" w:type="dxa"/>
            <w:vAlign w:val="bottom"/>
            <w:gridSpan w:val="15"/>
            <w:vMerge w:val="restart"/>
          </w:tcPr>
          <w:p>
            <w:pPr>
              <w:ind w:left="202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1"/>
                <w:szCs w:val="11"/>
                <w:color w:val="auto"/>
              </w:rPr>
            </w:pPr>
          </w:p>
        </w:tc>
        <w:tc>
          <w:tcPr>
            <w:tcW w:w="720" w:type="dxa"/>
            <w:vAlign w:val="bottom"/>
            <w:vMerge w:val="restart"/>
          </w:tcPr>
          <w:p>
            <w:pPr>
              <w:jc w:val="center"/>
              <w:ind w:left="233"/>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780" w:type="dxa"/>
            <w:vAlign w:val="bottom"/>
            <w:tcBorders>
              <w:bottom w:val="single" w:sz="8" w:color="auto"/>
            </w:tcBorders>
            <w:gridSpan w:val="15"/>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80" w:type="dxa"/>
            <w:vAlign w:val="bottom"/>
            <w:gridSpan w:val="18"/>
            <w:shd w:val="clear" w:color="auto" w:fill="CCEEFF"/>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Amended and Restated Certificate of Incorporation of the Registrant</w:t>
              </w:r>
            </w:hyperlink>
          </w:p>
        </w:tc>
        <w:tc>
          <w:tcPr>
            <w:tcW w:w="720" w:type="dxa"/>
            <w:vAlign w:val="bottom"/>
            <w:shd w:val="clear" w:color="auto" w:fill="CCEEFF"/>
          </w:tcPr>
          <w:p>
            <w:pPr>
              <w:jc w:val="center"/>
              <w:ind w:left="233"/>
              <w:spacing w:after="0" w:line="182" w:lineRule="exact"/>
              <w:rPr>
                <w:sz w:val="20"/>
                <w:szCs w:val="20"/>
                <w:color w:val="auto"/>
              </w:rPr>
            </w:pPr>
            <w:r>
              <w:rPr>
                <w:rFonts w:ascii="Arial" w:cs="Arial" w:eastAsia="Arial" w:hAnsi="Arial"/>
                <w:sz w:val="18"/>
                <w:szCs w:val="18"/>
                <w:color w:val="auto"/>
                <w:w w:val="99"/>
              </w:rPr>
              <w:t>S-1</w:t>
            </w:r>
          </w:p>
        </w:tc>
        <w:tc>
          <w:tcPr>
            <w:tcW w:w="1460" w:type="dxa"/>
            <w:vAlign w:val="bottom"/>
            <w:gridSpan w:val="3"/>
            <w:shd w:val="clear" w:color="auto" w:fill="CCEEFF"/>
          </w:tcPr>
          <w:p>
            <w:pPr>
              <w:jc w:val="center"/>
              <w:ind w:left="333"/>
              <w:spacing w:after="0" w:line="182" w:lineRule="exact"/>
              <w:rPr>
                <w:sz w:val="20"/>
                <w:szCs w:val="20"/>
                <w:color w:val="auto"/>
              </w:rPr>
            </w:pPr>
            <w:r>
              <w:rPr>
                <w:rFonts w:ascii="Arial" w:cs="Arial" w:eastAsia="Arial" w:hAnsi="Arial"/>
                <w:sz w:val="18"/>
                <w:szCs w:val="18"/>
                <w:color w:val="auto"/>
                <w:w w:val="95"/>
              </w:rPr>
              <w:t>3.2</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420" w:type="dxa"/>
            <w:vAlign w:val="bottom"/>
            <w:tcBorders>
              <w:top w:val="single" w:sz="8" w:color="0000FF"/>
            </w:tcBorders>
            <w:gridSpan w:val="7"/>
          </w:tcPr>
          <w:p>
            <w:pPr>
              <w:spacing w:after="0" w:line="189" w:lineRule="exact"/>
              <w:rPr>
                <w:rFonts w:ascii="Arial" w:cs="Arial" w:eastAsia="Arial" w:hAnsi="Arial"/>
                <w:sz w:val="18"/>
                <w:szCs w:val="18"/>
                <w:color w:val="0000FF"/>
              </w:rPr>
            </w:pPr>
            <w:hyperlink r:id="rId43">
              <w:r>
                <w:rPr>
                  <w:rFonts w:ascii="Arial" w:cs="Arial" w:eastAsia="Arial" w:hAnsi="Arial"/>
                  <w:sz w:val="18"/>
                  <w:szCs w:val="18"/>
                  <w:color w:val="0000FF"/>
                </w:rPr>
                <w:t>Amended and Restated Bylaws of the Registrant</w:t>
              </w:r>
            </w:hyperlink>
          </w:p>
        </w:tc>
        <w:tc>
          <w:tcPr>
            <w:tcW w:w="1360" w:type="dxa"/>
            <w:vAlign w:val="bottom"/>
            <w:tcBorders>
              <w:top w:val="single" w:sz="8" w:color="CCEEFF"/>
            </w:tcBorders>
            <w:gridSpan w:val="11"/>
          </w:tcPr>
          <w:p>
            <w:pPr>
              <w:spacing w:after="0"/>
              <w:rPr>
                <w:sz w:val="16"/>
                <w:szCs w:val="16"/>
                <w:color w:val="auto"/>
              </w:rPr>
            </w:pPr>
          </w:p>
        </w:tc>
        <w:tc>
          <w:tcPr>
            <w:tcW w:w="720" w:type="dxa"/>
            <w:vAlign w:val="bottom"/>
            <w:tcBorders>
              <w:top w:val="single" w:sz="8" w:color="CCEEFF"/>
            </w:tcBorders>
          </w:tcPr>
          <w:p>
            <w:pPr>
              <w:jc w:val="center"/>
              <w:ind w:left="233"/>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tcBorders>
              <w:top w:val="single" w:sz="8" w:color="CCEEFF"/>
            </w:tcBorders>
            <w:gridSpan w:val="3"/>
          </w:tcPr>
          <w:p>
            <w:pPr>
              <w:jc w:val="center"/>
              <w:ind w:left="333"/>
              <w:spacing w:after="0" w:line="189" w:lineRule="exact"/>
              <w:rPr>
                <w:sz w:val="20"/>
                <w:szCs w:val="20"/>
                <w:color w:val="auto"/>
              </w:rPr>
            </w:pPr>
            <w:r>
              <w:rPr>
                <w:rFonts w:ascii="Arial" w:cs="Arial" w:eastAsia="Arial" w:hAnsi="Arial"/>
                <w:sz w:val="18"/>
                <w:szCs w:val="18"/>
                <w:color w:val="auto"/>
                <w:w w:val="95"/>
              </w:rPr>
              <w:t>3.4</w:t>
            </w:r>
          </w:p>
        </w:tc>
        <w:tc>
          <w:tcPr>
            <w:tcW w:w="8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8"/>
            <w:shd w:val="clear" w:color="auto" w:fill="CCEEFF"/>
          </w:tcPr>
          <w:p>
            <w:pPr>
              <w:spacing w:after="0" w:line="189" w:lineRule="exact"/>
              <w:rPr>
                <w:rFonts w:ascii="Arial" w:cs="Arial" w:eastAsia="Arial" w:hAnsi="Arial"/>
                <w:sz w:val="18"/>
                <w:szCs w:val="18"/>
                <w:color w:val="0000FF"/>
              </w:rPr>
            </w:pPr>
            <w:hyperlink r:id="rId44">
              <w:r>
                <w:rPr>
                  <w:rFonts w:ascii="Arial" w:cs="Arial" w:eastAsia="Arial" w:hAnsi="Arial"/>
                  <w:sz w:val="18"/>
                  <w:szCs w:val="18"/>
                  <w:color w:val="0000FF"/>
                </w:rPr>
                <w:t>Form of Class A common stock certificate of the Registrant</w:t>
              </w:r>
            </w:hyperlink>
          </w:p>
        </w:tc>
        <w:tc>
          <w:tcPr>
            <w:tcW w:w="720" w:type="dxa"/>
            <w:vAlign w:val="bottom"/>
            <w:shd w:val="clear" w:color="auto" w:fill="CCEEFF"/>
          </w:tcPr>
          <w:p>
            <w:pPr>
              <w:jc w:val="center"/>
              <w:ind w:left="233"/>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shd w:val="clear" w:color="auto" w:fill="CCEEFF"/>
          </w:tcPr>
          <w:p>
            <w:pPr>
              <w:jc w:val="center"/>
              <w:ind w:left="333"/>
              <w:spacing w:after="0" w:line="189" w:lineRule="exact"/>
              <w:rPr>
                <w:sz w:val="20"/>
                <w:szCs w:val="20"/>
                <w:color w:val="auto"/>
              </w:rPr>
            </w:pPr>
            <w:r>
              <w:rPr>
                <w:rFonts w:ascii="Arial" w:cs="Arial" w:eastAsia="Arial" w:hAnsi="Arial"/>
                <w:sz w:val="18"/>
                <w:szCs w:val="18"/>
                <w:color w:val="auto"/>
                <w:w w:val="95"/>
              </w:rPr>
              <w:t>4.1</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9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8"/>
          </w:tcPr>
          <w:p>
            <w:pPr>
              <w:spacing w:after="0" w:line="189" w:lineRule="exact"/>
              <w:rPr>
                <w:rFonts w:ascii="Arial" w:cs="Arial" w:eastAsia="Arial" w:hAnsi="Arial"/>
                <w:sz w:val="18"/>
                <w:szCs w:val="18"/>
                <w:color w:val="0000FF"/>
              </w:rPr>
            </w:pPr>
            <w:hyperlink r:id="rId45">
              <w:r>
                <w:rPr>
                  <w:rFonts w:ascii="Arial" w:cs="Arial" w:eastAsia="Arial" w:hAnsi="Arial"/>
                  <w:sz w:val="18"/>
                  <w:szCs w:val="18"/>
                  <w:color w:val="0000FF"/>
                </w:rPr>
                <w:t>Tenth Amended and Restated Investors’ Rights Agreement, dated February 16,</w:t>
              </w:r>
            </w:hyperlink>
          </w:p>
        </w:tc>
        <w:tc>
          <w:tcPr>
            <w:tcW w:w="720" w:type="dxa"/>
            <w:vAlign w:val="bottom"/>
          </w:tcPr>
          <w:p>
            <w:pPr>
              <w:jc w:val="center"/>
              <w:ind w:left="233"/>
              <w:spacing w:after="0" w:line="189" w:lineRule="exact"/>
              <w:rPr>
                <w:sz w:val="20"/>
                <w:szCs w:val="20"/>
                <w:color w:val="auto"/>
              </w:rPr>
            </w:pPr>
            <w:r>
              <w:rPr>
                <w:rFonts w:ascii="Arial" w:cs="Arial" w:eastAsia="Arial" w:hAnsi="Arial"/>
                <w:sz w:val="18"/>
                <w:szCs w:val="18"/>
                <w:color w:val="auto"/>
                <w:w w:val="99"/>
              </w:rPr>
              <w:t>S-1</w:t>
            </w:r>
          </w:p>
        </w:tc>
        <w:tc>
          <w:tcPr>
            <w:tcW w:w="1460" w:type="dxa"/>
            <w:vAlign w:val="bottom"/>
            <w:gridSpan w:val="3"/>
          </w:tcPr>
          <w:p>
            <w:pPr>
              <w:jc w:val="center"/>
              <w:ind w:left="333"/>
              <w:spacing w:after="0" w:line="189"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9"/>
              </w:rPr>
              <w:t>3/3/2021</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2021, by and among the Registrant and certain of its stockholders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Borders>
              <w:bottom w:val="single" w:sz="8" w:color="CCEEFF"/>
            </w:tcBorders>
            <w:gridSpan w:val="2"/>
            <w:shd w:val="clear" w:color="auto" w:fill="CCEEFF"/>
          </w:tcPr>
          <w:p>
            <w:pPr>
              <w:jc w:val="center"/>
              <w:ind w:right="60"/>
              <w:spacing w:after="0" w:line="189" w:lineRule="exact"/>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16"/>
                <w:szCs w:val="16"/>
                <w:color w:val="auto"/>
              </w:rPr>
            </w:pPr>
          </w:p>
        </w:tc>
        <w:tc>
          <w:tcPr>
            <w:tcW w:w="6600" w:type="dxa"/>
            <w:vAlign w:val="bottom"/>
            <w:tcBorders>
              <w:bottom w:val="single" w:sz="8" w:color="0000FF"/>
            </w:tcBorders>
            <w:gridSpan w:val="15"/>
            <w:shd w:val="clear" w:color="auto" w:fill="CCEEFF"/>
          </w:tcPr>
          <w:p>
            <w:pPr>
              <w:spacing w:after="0" w:line="189"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Second Amended and Restated Loan and Security Agreement dated as of July 14,</w:t>
              </w:r>
            </w:hyperlink>
          </w:p>
        </w:tc>
        <w:tc>
          <w:tcPr>
            <w:tcW w:w="180" w:type="dxa"/>
            <w:vAlign w:val="bottom"/>
            <w:tcBorders>
              <w:bottom w:val="single" w:sz="8" w:color="CCEEFF"/>
            </w:tcBorders>
            <w:gridSpan w:val="3"/>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center"/>
              <w:ind w:left="233"/>
              <w:spacing w:after="0" w:line="189" w:lineRule="exact"/>
              <w:rPr>
                <w:sz w:val="20"/>
                <w:szCs w:val="20"/>
                <w:color w:val="auto"/>
              </w:rPr>
            </w:pPr>
            <w:r>
              <w:rPr>
                <w:rFonts w:ascii="Arial" w:cs="Arial" w:eastAsia="Arial" w:hAnsi="Arial"/>
                <w:sz w:val="18"/>
                <w:szCs w:val="18"/>
                <w:color w:val="auto"/>
                <w:w w:val="99"/>
              </w:rPr>
              <w:t>8-K</w:t>
            </w:r>
          </w:p>
        </w:tc>
        <w:tc>
          <w:tcPr>
            <w:tcW w:w="1460" w:type="dxa"/>
            <w:vAlign w:val="bottom"/>
            <w:tcBorders>
              <w:bottom w:val="single" w:sz="8" w:color="CCEEFF"/>
            </w:tcBorders>
            <w:gridSpan w:val="3"/>
            <w:shd w:val="clear" w:color="auto" w:fill="CCEEFF"/>
          </w:tcPr>
          <w:p>
            <w:pPr>
              <w:jc w:val="center"/>
              <w:ind w:left="333"/>
              <w:spacing w:after="0" w:line="189" w:lineRule="exact"/>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7/20/2022</w:t>
            </w:r>
          </w:p>
        </w:tc>
        <w:tc>
          <w:tcPr>
            <w:tcW w:w="0" w:type="dxa"/>
            <w:vAlign w:val="bottom"/>
          </w:tcPr>
          <w:p>
            <w:pPr>
              <w:spacing w:after="0"/>
              <w:rPr>
                <w:sz w:val="1"/>
                <w:szCs w:val="1"/>
                <w:color w:val="auto"/>
              </w:rPr>
            </w:pPr>
          </w:p>
        </w:tc>
      </w:tr>
      <w:tr>
        <w:trPr>
          <w:trHeight w:val="156"/>
        </w:trPr>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780" w:type="dxa"/>
            <w:vAlign w:val="bottom"/>
            <w:gridSpan w:val="18"/>
            <w:shd w:val="clear" w:color="auto" w:fill="CCEEFF"/>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2022, by and among ThredUp Inc., ThredUp Intermediary Holdings LLC, Knitwit GC</w:t>
              </w:r>
            </w:hyperlink>
          </w:p>
        </w:tc>
        <w:tc>
          <w:tcPr>
            <w:tcW w:w="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660" w:type="dxa"/>
            <w:vAlign w:val="bottom"/>
            <w:tcBorders>
              <w:top w:val="single" w:sz="8" w:color="0000FF"/>
            </w:tcBorders>
            <w:gridSpan w:val="16"/>
            <w:shd w:val="clear" w:color="auto" w:fill="CCEEFF"/>
          </w:tcPr>
          <w:p>
            <w:pPr>
              <w:spacing w:after="0" w:line="169" w:lineRule="exact"/>
              <w:rPr>
                <w:rFonts w:ascii="Arial" w:cs="Arial" w:eastAsia="Arial" w:hAnsi="Arial"/>
                <w:sz w:val="18"/>
                <w:szCs w:val="18"/>
                <w:color w:val="0000FF"/>
              </w:rPr>
            </w:pPr>
            <w:hyperlink r:id="rId46">
              <w:r>
                <w:rPr>
                  <w:rFonts w:ascii="Arial" w:cs="Arial" w:eastAsia="Arial" w:hAnsi="Arial"/>
                  <w:sz w:val="18"/>
                  <w:szCs w:val="18"/>
                  <w:color w:val="0000FF"/>
                </w:rPr>
                <w:t>LLC, the lenders from time to time party thereto, and Western Alliance Bank, as</w:t>
              </w:r>
            </w:hyperlink>
          </w:p>
        </w:tc>
        <w:tc>
          <w:tcPr>
            <w:tcW w:w="120" w:type="dxa"/>
            <w:vAlign w:val="bottom"/>
            <w:tcBorders>
              <w:top w:val="single" w:sz="8" w:color="CCEEFF"/>
            </w:tcBorders>
            <w:gridSpan w:val="2"/>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97"/>
              </w:rPr>
            </w:pPr>
            <w:hyperlink r:id="rId46">
              <w:r>
                <w:rPr>
                  <w:rFonts w:ascii="Arial" w:cs="Arial" w:eastAsia="Arial" w:hAnsi="Arial"/>
                  <w:sz w:val="18"/>
                  <w:szCs w:val="18"/>
                  <w:color w:val="0000FF"/>
                  <w:w w:val="97"/>
                </w:rPr>
                <w:t>agent</w:t>
              </w:r>
            </w:hyperlink>
          </w:p>
        </w:tc>
        <w:tc>
          <w:tcPr>
            <w:tcW w:w="588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w w:val="99"/>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8"/>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Exchange Act Rules 13a-</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9"/>
              </w:rPr>
              <w:t>14(a) and 15d-14(a), as adopted pursuant to Section 302 of the Sarbanes-Oxley</w:t>
            </w: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gridSpan w:val="12"/>
          </w:tcPr>
          <w:p>
            <w:pPr>
              <w:spacing w:after="0" w:line="169" w:lineRule="exact"/>
              <w:rPr>
                <w:sz w:val="20"/>
                <w:szCs w:val="20"/>
                <w:color w:val="auto"/>
              </w:rPr>
            </w:pPr>
            <w:r>
              <w:rPr>
                <w:rFonts w:ascii="Arial" w:cs="Arial" w:eastAsia="Arial" w:hAnsi="Arial"/>
                <w:sz w:val="18"/>
                <w:szCs w:val="18"/>
                <w:color w:val="0000FF"/>
              </w:rPr>
              <w:t>Act of 2002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Exchange Act Rules 13a-</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80" w:type="dxa"/>
            <w:vAlign w:val="bottom"/>
            <w:tcBorders>
              <w:top w:val="single" w:sz="8" w:color="0000FF"/>
            </w:tcBorders>
            <w:gridSpan w:val="8"/>
            <w:shd w:val="clear" w:color="auto" w:fill="CCEEFF"/>
          </w:tcPr>
          <w:p>
            <w:pPr>
              <w:spacing w:after="0" w:line="156" w:lineRule="exact"/>
              <w:rPr>
                <w:sz w:val="20"/>
                <w:szCs w:val="20"/>
                <w:color w:val="auto"/>
              </w:rPr>
            </w:pPr>
            <w:r>
              <w:rPr>
                <w:rFonts w:ascii="Arial" w:cs="Arial" w:eastAsia="Arial" w:hAnsi="Arial"/>
                <w:sz w:val="18"/>
                <w:szCs w:val="18"/>
                <w:color w:val="0000FF"/>
                <w:w w:val="98"/>
              </w:rPr>
              <w:t>14(a) and 15d-14(a), as adopted pursuant to Section 302 of the Sarbanes-Oxley</w:t>
            </w:r>
          </w:p>
        </w:tc>
        <w:tc>
          <w:tcPr>
            <w:tcW w:w="14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gridSpan w:val="4"/>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0000FF"/>
              <w:bottom w:val="single" w:sz="8" w:color="0000FF"/>
            </w:tcBorders>
            <w:gridSpan w:val="2"/>
            <w:shd w:val="clear" w:color="auto" w:fill="CCEEFF"/>
          </w:tcPr>
          <w:p>
            <w:pPr>
              <w:spacing w:after="0" w:line="169" w:lineRule="exact"/>
              <w:rPr>
                <w:sz w:val="20"/>
                <w:szCs w:val="20"/>
                <w:color w:val="auto"/>
              </w:rPr>
            </w:pPr>
            <w:r>
              <w:rPr>
                <w:rFonts w:ascii="Arial" w:cs="Arial" w:eastAsia="Arial" w:hAnsi="Arial"/>
                <w:sz w:val="18"/>
                <w:szCs w:val="18"/>
                <w:color w:val="0000FF"/>
                <w:w w:val="98"/>
              </w:rPr>
              <w:t>Act of 2002</w:t>
            </w:r>
          </w:p>
        </w:tc>
        <w:tc>
          <w:tcPr>
            <w:tcW w:w="546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8"/>
          </w:tcPr>
          <w:p>
            <w:pPr>
              <w:spacing w:after="0" w:line="189" w:lineRule="exact"/>
              <w:rPr>
                <w:sz w:val="20"/>
                <w:szCs w:val="20"/>
                <w:color w:val="auto"/>
              </w:rPr>
            </w:pPr>
            <w:r>
              <w:rPr>
                <w:rFonts w:ascii="Arial" w:cs="Arial" w:eastAsia="Arial" w:hAnsi="Arial"/>
                <w:sz w:val="18"/>
                <w:szCs w:val="18"/>
                <w:color w:val="0000FF"/>
              </w:rPr>
              <w:t>Certification of Principal Executive Officer pursuant to 18 U.S.C. Section 1350, as</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0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9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78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rPr>
              <w:t>Certification of Principal Financial Officer pursuant to 18 U.S.C. Section 1350, as</w:t>
            </w: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2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adopted pursuant to Section 906 of the Sarbanes-Oxley Act of 2002</w:t>
            </w:r>
          </w:p>
        </w:tc>
        <w:tc>
          <w:tcPr>
            <w:tcW w:w="360" w:type="dxa"/>
            <w:vAlign w:val="bottom"/>
            <w:tcBorders>
              <w:top w:val="single" w:sz="8" w:color="CCEEFF"/>
            </w:tcBorders>
            <w:gridSpan w:val="5"/>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9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101.INS*</w:t>
            </w:r>
          </w:p>
        </w:tc>
        <w:tc>
          <w:tcPr>
            <w:tcW w:w="20" w:type="dxa"/>
            <w:vAlign w:val="bottom"/>
          </w:tcPr>
          <w:p>
            <w:pPr>
              <w:spacing w:after="0"/>
              <w:rPr>
                <w:sz w:val="16"/>
                <w:szCs w:val="16"/>
                <w:color w:val="auto"/>
              </w:rPr>
            </w:pPr>
          </w:p>
        </w:tc>
        <w:tc>
          <w:tcPr>
            <w:tcW w:w="6780" w:type="dxa"/>
            <w:vAlign w:val="bottom"/>
            <w:gridSpan w:val="18"/>
          </w:tcPr>
          <w:p>
            <w:pPr>
              <w:spacing w:after="0" w:line="189" w:lineRule="exact"/>
              <w:rPr>
                <w:sz w:val="20"/>
                <w:szCs w:val="20"/>
                <w:color w:val="auto"/>
              </w:rPr>
            </w:pPr>
            <w:r>
              <w:rPr>
                <w:rFonts w:ascii="Arial" w:cs="Arial" w:eastAsia="Arial" w:hAnsi="Arial"/>
                <w:sz w:val="18"/>
                <w:szCs w:val="18"/>
                <w:color w:val="auto"/>
              </w:rPr>
              <w:t>XBRL Instance Document – the instance document does not appear in the</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8"/>
          </w:tcPr>
          <w:p>
            <w:pPr>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101.SCH*</w:t>
            </w:r>
          </w:p>
        </w:tc>
        <w:tc>
          <w:tcPr>
            <w:tcW w:w="20" w:type="dxa"/>
            <w:vAlign w:val="bottom"/>
            <w:shd w:val="clear" w:color="auto" w:fill="CCEEFF"/>
          </w:tcPr>
          <w:p>
            <w:pPr>
              <w:spacing w:after="0"/>
              <w:rPr>
                <w:sz w:val="19"/>
                <w:szCs w:val="19"/>
                <w:color w:val="auto"/>
              </w:rPr>
            </w:pPr>
          </w:p>
        </w:tc>
        <w:tc>
          <w:tcPr>
            <w:tcW w:w="67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78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101.DEF*</w:t>
            </w:r>
          </w:p>
        </w:tc>
        <w:tc>
          <w:tcPr>
            <w:tcW w:w="20" w:type="dxa"/>
            <w:vAlign w:val="bottom"/>
            <w:shd w:val="clear" w:color="auto" w:fill="CCEEFF"/>
          </w:tcPr>
          <w:p>
            <w:pPr>
              <w:spacing w:after="0"/>
              <w:rPr>
                <w:sz w:val="19"/>
                <w:szCs w:val="19"/>
                <w:color w:val="auto"/>
              </w:rPr>
            </w:pPr>
          </w:p>
        </w:tc>
        <w:tc>
          <w:tcPr>
            <w:tcW w:w="67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19"/>
                <w:szCs w:val="19"/>
                <w:color w:val="auto"/>
              </w:rPr>
            </w:pPr>
          </w:p>
        </w:tc>
        <w:tc>
          <w:tcPr>
            <w:tcW w:w="678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8"/>
              </w:rPr>
              <w:t>101.PRE*</w:t>
            </w:r>
          </w:p>
        </w:tc>
        <w:tc>
          <w:tcPr>
            <w:tcW w:w="20" w:type="dxa"/>
            <w:vAlign w:val="bottom"/>
            <w:shd w:val="clear" w:color="auto" w:fill="CCEEFF"/>
          </w:tcPr>
          <w:p>
            <w:pPr>
              <w:spacing w:after="0"/>
              <w:rPr>
                <w:sz w:val="19"/>
                <w:szCs w:val="19"/>
                <w:color w:val="auto"/>
              </w:rPr>
            </w:pPr>
          </w:p>
        </w:tc>
        <w:tc>
          <w:tcPr>
            <w:tcW w:w="67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040" w:type="dxa"/>
            <w:vAlign w:val="bottom"/>
          </w:tcPr>
          <w:p>
            <w:pPr>
              <w:jc w:val="center"/>
              <w:spacing w:after="0" w:line="189"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780" w:type="dxa"/>
            <w:vAlign w:val="bottom"/>
            <w:gridSpan w:val="18"/>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with applicable</w:t>
            </w: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18"/>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423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under the Securities Act. The Company agrees 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furnish supplementally any omitted schedules to the Securities and Exchange Commission upon request.</w:t>
      </w:r>
    </w:p>
    <w:p>
      <w:pPr>
        <w:spacing w:after="0" w:line="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because they are both (i) not material and</w:t>
      </w:r>
    </w:p>
    <w:p>
      <w:pPr>
        <w:spacing w:after="0" w:line="9" w:lineRule="exact"/>
        <w:rPr>
          <w:rFonts w:ascii="Arial" w:cs="Arial" w:eastAsia="Arial" w:hAnsi="Arial"/>
          <w:sz w:val="18"/>
          <w:szCs w:val="18"/>
          <w:color w:val="auto"/>
        </w:rPr>
      </w:pPr>
    </w:p>
    <w:p>
      <w:pPr>
        <w:ind w:left="340" w:hanging="8"/>
        <w:spacing w:after="0" w:line="261" w:lineRule="auto"/>
        <w:tabs>
          <w:tab w:leader="none" w:pos="61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type that the registrant treats as private or confidential. A copy of the omitted portions will be furnished to the Securities and Exchange Commission upon request.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THREDUP INC.</w:t>
      </w:r>
    </w:p>
    <w:p>
      <w:pPr>
        <w:spacing w:after="0" w:line="31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Reinhart, certify that:</w:t>
      </w:r>
    </w:p>
    <w:p>
      <w:pPr>
        <w:spacing w:after="0" w:line="22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hanging="324"/>
        <w:spacing w:after="0" w:line="261"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Sean Sobers, certify that:</w:t>
      </w:r>
    </w:p>
    <w:p>
      <w:pPr>
        <w:spacing w:after="0" w:line="225"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ThredUp Inc.;</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7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hanging="324"/>
        <w:spacing w:after="0" w:line="261" w:lineRule="auto"/>
        <w:tabs>
          <w:tab w:leader="none" w:pos="9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11240"/>
          </w:cols>
          <w:pgMar w:left="320" w:top="76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James Reinhart, Chief Executive Officer of ThredUp Inc. (the “Company”), do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REINHART</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James Reinhart</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 Sean Sobers, Chief Financial Officer of ThredUp Inc. (the “Company”), do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SOBERS</w:t>
            </w:r>
          </w:p>
        </w:tc>
      </w:tr>
      <w:tr>
        <w:trPr>
          <w:trHeight w:val="218"/>
        </w:trPr>
        <w:tc>
          <w:tcPr>
            <w:tcW w:w="6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Sean Sobers</w:t>
            </w:r>
          </w:p>
        </w:tc>
      </w:tr>
      <w:tr>
        <w:trPr>
          <w:trHeight w:val="235"/>
        </w:trPr>
        <w:tc>
          <w:tcPr>
            <w:tcW w:w="6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r>
        <w:trPr>
          <w:trHeight w:val="229"/>
        </w:trPr>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0"/>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lowerRoman"/>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2" Type="http://schemas.openxmlformats.org/officeDocument/2006/relationships/hyperlink" Target="https://www.sec.gov/Archives/edgar/data/1484778/000162828021003857/exhibit32-sx1.htm" TargetMode="External"/><Relationship Id="rId43" Type="http://schemas.openxmlformats.org/officeDocument/2006/relationships/hyperlink" Target="https://www.sec.gov/Archives/edgar/data/1484778/000162828021003857/exhibit34-sx1.htm" TargetMode="External"/><Relationship Id="rId44" Type="http://schemas.openxmlformats.org/officeDocument/2006/relationships/hyperlink" Target="https://www.sec.gov/Archives/edgar/data/1484778/000162828021003857/exhibit41-sx1.htm" TargetMode="External"/><Relationship Id="rId45" Type="http://schemas.openxmlformats.org/officeDocument/2006/relationships/hyperlink" Target="https://www.sec.gov/Archives/edgar/data/1484778/000162828021003857/exhibit42-sx1.htm" TargetMode="External"/><Relationship Id="rId46" Type="http://schemas.openxmlformats.org/officeDocument/2006/relationships/hyperlink" Target="https://www.sec.gov/Archives/edgar/data/1484778/000148477822000120/ex101july2022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2022-11-14T22:31:46Z</dcterms:created>
  <dcterms:modified xsi:type="dcterms:W3CDTF">2022-11-14T22:31:46Z</dcterms:modified>
</cp:coreProperties>
</file>