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93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Nakache Patricia</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ThredUp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TDUP</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THREDUP INC.</w:t>
            </w:r>
          </w:p>
        </w:tc>
        <w:tc>
          <w:tcPr>
            <w:tcW w:w="134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969 BROADWAY, SUITE 200</w:t>
            </w: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2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OAKLAND</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94607</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220"/>
              <w:spacing w:after="0"/>
              <w:rPr>
                <w:sz w:val="20"/>
                <w:szCs w:val="20"/>
                <w:color w:val="auto"/>
              </w:rPr>
            </w:pPr>
            <w:r>
              <w:rPr>
                <w:rFonts w:ascii="Arial" w:cs="Arial" w:eastAsia="Arial" w:hAnsi="Arial"/>
                <w:sz w:val="12"/>
                <w:szCs w:val="12"/>
                <w:b w:val="1"/>
                <w:bCs w:val="1"/>
                <w:color w:val="auto"/>
              </w:rPr>
              <w:t>6. Ownership</w:t>
            </w:r>
          </w:p>
        </w:tc>
        <w:tc>
          <w:tcPr>
            <w:tcW w:w="1500" w:type="dxa"/>
            <w:vAlign w:val="bottom"/>
            <w:gridSpan w:val="4"/>
          </w:tcPr>
          <w:p>
            <w:pPr>
              <w:ind w:left="1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9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 Direct</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 or</w:t>
            </w:r>
          </w:p>
        </w:tc>
        <w:tc>
          <w:tcPr>
            <w:tcW w:w="150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10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Indirect (I)</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9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10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vMerge w:val="restart"/>
          </w:tcPr>
          <w:p>
            <w:pPr>
              <w:jc w:val="right"/>
              <w:spacing w:after="0"/>
              <w:rPr>
                <w:sz w:val="20"/>
                <w:szCs w:val="20"/>
                <w:color w:val="auto"/>
              </w:rPr>
            </w:pPr>
            <w:r>
              <w:rPr>
                <w:rFonts w:ascii="Arial" w:cs="Arial" w:eastAsia="Arial" w:hAnsi="Arial"/>
                <w:sz w:val="12"/>
                <w:szCs w:val="12"/>
                <w:b w:val="1"/>
                <w:bCs w:val="1"/>
                <w:color w:val="auto"/>
              </w:rPr>
              <w:t>(A) or</w:t>
            </w:r>
          </w:p>
        </w:tc>
        <w:tc>
          <w:tcPr>
            <w:tcW w:w="680" w:type="dxa"/>
            <w:vAlign w:val="bottom"/>
            <w:tcBorders>
              <w:top w:val="single" w:sz="8" w:color="2C2C2C"/>
            </w:tcBorders>
          </w:tcPr>
          <w:p>
            <w:pPr>
              <w:spacing w:after="0"/>
              <w:rPr>
                <w:sz w:val="7"/>
                <w:szCs w:val="7"/>
                <w:color w:val="auto"/>
              </w:rPr>
            </w:pPr>
          </w:p>
        </w:tc>
        <w:tc>
          <w:tcPr>
            <w:tcW w:w="9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10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9"/>
              </w:rPr>
              <w:t>V</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380" w:type="dxa"/>
            <w:vAlign w:val="bottom"/>
            <w:vMerge w:val="continue"/>
          </w:tcPr>
          <w:p>
            <w:pPr>
              <w:spacing w:after="0"/>
              <w:rPr>
                <w:sz w:val="13"/>
                <w:szCs w:val="13"/>
                <w:color w:val="auto"/>
              </w:rPr>
            </w:pPr>
          </w:p>
        </w:tc>
        <w:tc>
          <w:tcPr>
            <w:tcW w:w="680" w:type="dxa"/>
            <w:vAlign w:val="bottom"/>
          </w:tcPr>
          <w:p>
            <w:pPr>
              <w:ind w:left="160"/>
              <w:spacing w:after="0"/>
              <w:rPr>
                <w:sz w:val="20"/>
                <w:szCs w:val="20"/>
                <w:color w:val="auto"/>
              </w:rPr>
            </w:pPr>
            <w:r>
              <w:rPr>
                <w:rFonts w:ascii="Arial" w:cs="Arial" w:eastAsia="Arial" w:hAnsi="Arial"/>
                <w:sz w:val="12"/>
                <w:szCs w:val="12"/>
                <w:b w:val="1"/>
                <w:bCs w:val="1"/>
                <w:color w:val="auto"/>
              </w:rPr>
              <w:t>Price</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jc w:val="right"/>
              <w:ind w:right="71"/>
              <w:spacing w:after="0"/>
              <w:rPr>
                <w:sz w:val="20"/>
                <w:szCs w:val="20"/>
                <w:color w:val="auto"/>
              </w:rPr>
            </w:pPr>
            <w:r>
              <w:rPr>
                <w:rFonts w:ascii="Arial" w:cs="Arial" w:eastAsia="Arial" w:hAnsi="Arial"/>
                <w:sz w:val="12"/>
                <w:szCs w:val="12"/>
                <w:b w:val="1"/>
                <w:bCs w:val="1"/>
                <w:color w:val="auto"/>
              </w:rPr>
              <w:t>(D)</w:t>
            </w:r>
          </w:p>
        </w:tc>
        <w:tc>
          <w:tcPr>
            <w:tcW w:w="680" w:type="dxa"/>
            <w:vAlign w:val="bottom"/>
            <w:tcBorders>
              <w:bottom w:val="single" w:sz="8" w:color="2C2C2C"/>
            </w:tcBorders>
          </w:tcPr>
          <w:p>
            <w:pPr>
              <w:spacing w:after="0"/>
              <w:rPr>
                <w:sz w:val="15"/>
                <w:szCs w:val="15"/>
                <w:color w:val="auto"/>
              </w:rPr>
            </w:pPr>
          </w:p>
        </w:tc>
        <w:tc>
          <w:tcPr>
            <w:tcW w:w="9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05/20/2026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37,265</w:t>
            </w:r>
          </w:p>
        </w:tc>
        <w:tc>
          <w:tcPr>
            <w:tcW w:w="380" w:type="dxa"/>
            <w:vAlign w:val="bottom"/>
            <w:tcBorders>
              <w:bottom w:val="single" w:sz="8" w:color="2C2C2C"/>
            </w:tcBorders>
          </w:tcPr>
          <w:p>
            <w:pPr>
              <w:jc w:val="right"/>
              <w:ind w:right="11"/>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96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340,583</w:t>
            </w:r>
          </w:p>
        </w:tc>
        <w:tc>
          <w:tcPr>
            <w:tcW w:w="1000" w:type="dxa"/>
            <w:vAlign w:val="bottom"/>
            <w:tcBorders>
              <w:bottom w:val="single" w:sz="8" w:color="2C2C2C"/>
            </w:tcBorders>
          </w:tcPr>
          <w:p>
            <w:pPr>
              <w:ind w:left="54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By</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0000FF"/>
              </w:rPr>
              <w:t>Gordan/Nakache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14,017</w:t>
            </w:r>
          </w:p>
        </w:tc>
        <w:tc>
          <w:tcPr>
            <w:tcW w:w="1000" w:type="dxa"/>
            <w:vAlign w:val="bottom"/>
          </w:tcPr>
          <w:p>
            <w:pPr>
              <w:ind w:left="580"/>
              <w:spacing w:after="0"/>
              <w:rPr>
                <w:sz w:val="20"/>
                <w:szCs w:val="20"/>
                <w:color w:val="auto"/>
              </w:rPr>
            </w:pPr>
            <w:r>
              <w:rPr>
                <w:rFonts w:ascii="Times New Roman" w:cs="Times New Roman" w:eastAsia="Times New Roman" w:hAnsi="Times New Roman"/>
                <w:sz w:val="17"/>
                <w:szCs w:val="17"/>
                <w:color w:val="0000FF"/>
              </w:rPr>
              <w:t>I</w:t>
            </w: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0000FF"/>
              </w:rPr>
              <w:t>Family Trust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0000FF"/>
              </w:rPr>
              <w:t>U/A DTD</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11/30/2001</w:t>
            </w:r>
            <w:r>
              <w:rPr>
                <w:rFonts w:ascii="Times New Roman" w:cs="Times New Roman" w:eastAsia="Times New Roman" w:hAnsi="Times New Roman"/>
                <w:sz w:val="22"/>
                <w:szCs w:val="22"/>
                <w:color w:val="008000"/>
                <w:vertAlign w:val="superscript"/>
              </w:rPr>
              <w:t>(2)</w:t>
            </w: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920" w:type="dxa"/>
            <w:vAlign w:val="bottom"/>
            <w:gridSpan w:val="12"/>
          </w:tcPr>
          <w:p>
            <w:pPr>
              <w:jc w:val="center"/>
              <w:ind w:right="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100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4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4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jc w:val="right"/>
              <w:ind w:right="71"/>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8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3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RSUs. Each RSU represents a contingent right to receive one share of the Issuer's Class A Common Stock. The RSUs vest in full on the earlier of (i) May 20, 2027 or (ii) the Issuer's next annual meeting of stockholders, subject to the Reporting Person's continued service to the Issuer on such date. The Reporting Person elected to defer distribution until the earliest of (a) 30 days after the Reporting Person's separation from service on the Board within the meaning of Section 409A of the Internal Revenue Code of 1986, as amended ("Section 409A"), (b) a Sale Event (as defined in the Issuer's 2021 Stock Option and Incentive Plan) that constitutes a change in control under Section 409A, or (c) 30 days after the Reporting Person's death.</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indirectly by Gordan/Nakache Family Trust U/A DTD 11/30/2001. The Reporting Person serves as a trustee for the trust.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Alon Rotem, Attorney-in-</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97755" TargetMode="External"/><Relationship Id="rId14" Type="http://schemas.openxmlformats.org/officeDocument/2006/relationships/hyperlink" Target="http://www.sec.gov/cgi-bin/browse-edgar?action=getcompany&amp;CIK=00014847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2026-05-21T15:17:44Z</dcterms:created>
  <dcterms:modified xsi:type="dcterms:W3CDTF">2026-05-21T15:17:44Z</dcterms:modified>
</cp:coreProperties>
</file>