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700" w:right="1660" w:hanging="3692"/>
        <w:spacing w:after="0" w:line="365" w:lineRule="auto"/>
        <w:tabs>
          <w:tab w:leader="none" w:pos="36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2200" w:right="1660" w:hanging="2192"/>
        <w:spacing w:after="0" w:line="375" w:lineRule="auto"/>
        <w:tabs>
          <w:tab w:leader="none" w:pos="37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____________________ to 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001-40249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88900</wp:posOffset>
            </wp:positionV>
            <wp:extent cx="154305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ThredUp Inc.</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Delaware</w:t>
            </w:r>
          </w:p>
        </w:tc>
        <w:tc>
          <w:tcPr>
            <w:tcW w:w="2480" w:type="dxa"/>
            <w:vAlign w:val="bottom"/>
          </w:tcPr>
          <w:p>
            <w:pPr>
              <w:spacing w:after="0"/>
              <w:rPr>
                <w:sz w:val="16"/>
                <w:szCs w:val="16"/>
                <w:color w:val="auto"/>
              </w:rPr>
            </w:pPr>
          </w:p>
        </w:tc>
        <w:tc>
          <w:tcPr>
            <w:tcW w:w="3920" w:type="dxa"/>
            <w:vAlign w:val="bottom"/>
            <w:gridSpan w:val="3"/>
          </w:tcPr>
          <w:p>
            <w:pPr>
              <w:jc w:val="right"/>
              <w:ind w:right="2348"/>
              <w:spacing w:after="0"/>
              <w:rPr>
                <w:sz w:val="20"/>
                <w:szCs w:val="20"/>
                <w:color w:val="auto"/>
              </w:rPr>
            </w:pPr>
            <w:r>
              <w:rPr>
                <w:rFonts w:ascii="Arial" w:cs="Arial" w:eastAsia="Arial" w:hAnsi="Arial"/>
                <w:sz w:val="14"/>
                <w:szCs w:val="14"/>
                <w:b w:val="1"/>
                <w:bCs w:val="1"/>
                <w:color w:val="auto"/>
              </w:rPr>
              <w:t>26-4009181</w:t>
            </w:r>
          </w:p>
        </w:tc>
        <w:tc>
          <w:tcPr>
            <w:tcW w:w="0" w:type="dxa"/>
            <w:vAlign w:val="bottom"/>
          </w:tcPr>
          <w:p>
            <w:pPr>
              <w:spacing w:after="0"/>
              <w:rPr>
                <w:sz w:val="1"/>
                <w:szCs w:val="1"/>
                <w:color w:val="auto"/>
              </w:rPr>
            </w:pPr>
          </w:p>
        </w:tc>
      </w:tr>
      <w:tr>
        <w:trPr>
          <w:trHeight w:val="186"/>
        </w:trPr>
        <w:tc>
          <w:tcPr>
            <w:tcW w:w="4840" w:type="dxa"/>
            <w:vAlign w:val="bottom"/>
            <w:gridSpan w:val="3"/>
          </w:tcPr>
          <w:p>
            <w:pPr>
              <w:jc w:val="center"/>
              <w:ind w:left="728"/>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2480" w:type="dxa"/>
            <w:vAlign w:val="bottom"/>
          </w:tcPr>
          <w:p>
            <w:pPr>
              <w:spacing w:after="0"/>
              <w:rPr>
                <w:sz w:val="16"/>
                <w:szCs w:val="16"/>
                <w:color w:val="auto"/>
              </w:rPr>
            </w:pPr>
          </w:p>
        </w:tc>
        <w:tc>
          <w:tcPr>
            <w:tcW w:w="3920" w:type="dxa"/>
            <w:vAlign w:val="bottom"/>
            <w:gridSpan w:val="3"/>
          </w:tcPr>
          <w:p>
            <w:pPr>
              <w:jc w:val="center"/>
              <w:ind w:right="1628"/>
              <w:spacing w:after="0"/>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377"/>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969 Broadway, Suite 200</w:t>
            </w:r>
          </w:p>
        </w:tc>
        <w:tc>
          <w:tcPr>
            <w:tcW w:w="2480" w:type="dxa"/>
            <w:vAlign w:val="bottom"/>
          </w:tcPr>
          <w:p>
            <w:pPr>
              <w:spacing w:after="0"/>
              <w:rPr>
                <w:sz w:val="24"/>
                <w:szCs w:val="24"/>
                <w:color w:val="auto"/>
              </w:rPr>
            </w:pPr>
          </w:p>
        </w:tc>
        <w:tc>
          <w:tcPr>
            <w:tcW w:w="3920" w:type="dxa"/>
            <w:vAlign w:val="bottom"/>
            <w:gridSpan w:val="3"/>
            <w:vMerge w:val="restart"/>
          </w:tcPr>
          <w:p>
            <w:pPr>
              <w:jc w:val="right"/>
              <w:ind w:right="2528"/>
              <w:spacing w:after="0"/>
              <w:rPr>
                <w:sz w:val="20"/>
                <w:szCs w:val="20"/>
                <w:color w:val="auto"/>
              </w:rPr>
            </w:pPr>
            <w:r>
              <w:rPr>
                <w:rFonts w:ascii="Arial" w:cs="Arial" w:eastAsia="Arial" w:hAnsi="Arial"/>
                <w:sz w:val="14"/>
                <w:szCs w:val="14"/>
                <w:b w:val="1"/>
                <w:bCs w:val="1"/>
                <w:color w:val="auto"/>
              </w:rPr>
              <w:t>94607</w:t>
            </w:r>
          </w:p>
        </w:tc>
        <w:tc>
          <w:tcPr>
            <w:tcW w:w="0" w:type="dxa"/>
            <w:vAlign w:val="bottom"/>
          </w:tcPr>
          <w:p>
            <w:pPr>
              <w:spacing w:after="0"/>
              <w:rPr>
                <w:sz w:val="1"/>
                <w:szCs w:val="1"/>
                <w:color w:val="auto"/>
              </w:rPr>
            </w:pPr>
          </w:p>
        </w:tc>
      </w:tr>
      <w:tr>
        <w:trPr>
          <w:trHeight w:val="193"/>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Oakland, California</w:t>
            </w:r>
          </w:p>
        </w:tc>
        <w:tc>
          <w:tcPr>
            <w:tcW w:w="2480" w:type="dxa"/>
            <w:vAlign w:val="bottom"/>
          </w:tcPr>
          <w:p>
            <w:pPr>
              <w:spacing w:after="0"/>
              <w:rPr>
                <w:sz w:val="16"/>
                <w:szCs w:val="16"/>
                <w:color w:val="auto"/>
              </w:rPr>
            </w:pPr>
          </w:p>
        </w:tc>
        <w:tc>
          <w:tcPr>
            <w:tcW w:w="39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40" w:type="dxa"/>
            <w:vAlign w:val="bottom"/>
            <w:gridSpan w:val="3"/>
          </w:tcPr>
          <w:p>
            <w:pPr>
              <w:jc w:val="center"/>
              <w:ind w:left="708"/>
              <w:spacing w:after="0"/>
              <w:rPr>
                <w:sz w:val="20"/>
                <w:szCs w:val="20"/>
                <w:color w:val="auto"/>
              </w:rPr>
            </w:pPr>
            <w:r>
              <w:rPr>
                <w:rFonts w:ascii="Arial" w:cs="Arial" w:eastAsia="Arial" w:hAnsi="Arial"/>
                <w:sz w:val="14"/>
                <w:szCs w:val="14"/>
                <w:i w:val="1"/>
                <w:iCs w:val="1"/>
                <w:color w:val="auto"/>
              </w:rPr>
              <w:t>(Address of principal executive offices)</w:t>
            </w: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Pr>
          <w:p>
            <w:pPr>
              <w:jc w:val="center"/>
              <w:ind w:right="1868"/>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543"/>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80" w:type="dxa"/>
            <w:vAlign w:val="bottom"/>
          </w:tcPr>
          <w:p>
            <w:pPr>
              <w:jc w:val="center"/>
              <w:ind w:right="828"/>
              <w:spacing w:after="0"/>
              <w:rPr>
                <w:sz w:val="20"/>
                <w:szCs w:val="20"/>
                <w:color w:val="auto"/>
              </w:rPr>
            </w:pPr>
            <w:r>
              <w:rPr>
                <w:rFonts w:ascii="Arial" w:cs="Arial" w:eastAsia="Arial" w:hAnsi="Arial"/>
                <w:sz w:val="14"/>
                <w:szCs w:val="14"/>
                <w:b w:val="1"/>
                <w:bCs w:val="1"/>
                <w:color w:val="auto"/>
              </w:rPr>
              <w:t>(415) 402-5202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gridSpan w:val="2"/>
          </w:tcPr>
          <w:p>
            <w:pPr>
              <w:jc w:val="center"/>
              <w:ind w:left="108"/>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4840" w:type="dxa"/>
            <w:vAlign w:val="bottom"/>
            <w:gridSpan w:val="3"/>
          </w:tcPr>
          <w:p>
            <w:pPr>
              <w:jc w:val="center"/>
              <w:ind w:right="1108"/>
              <w:spacing w:after="0"/>
              <w:rPr>
                <w:sz w:val="20"/>
                <w:szCs w:val="20"/>
                <w:color w:val="auto"/>
              </w:rPr>
            </w:pPr>
            <w:r>
              <w:rPr>
                <w:rFonts w:ascii="Arial" w:cs="Arial" w:eastAsia="Arial" w:hAnsi="Arial"/>
                <w:sz w:val="14"/>
                <w:szCs w:val="14"/>
                <w:color w:val="auto"/>
              </w:rPr>
              <w:t>Securities registered pursuant to Section 12(b) of the Act:</w:t>
            </w: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828"/>
              <w:spacing w:after="0"/>
              <w:rPr>
                <w:sz w:val="20"/>
                <w:szCs w:val="20"/>
                <w:color w:val="auto"/>
              </w:rPr>
            </w:pPr>
            <w:r>
              <w:rPr>
                <w:rFonts w:ascii="Arial" w:cs="Arial" w:eastAsia="Arial" w:hAnsi="Arial"/>
                <w:sz w:val="14"/>
                <w:szCs w:val="14"/>
                <w:b w:val="1"/>
                <w:bCs w:val="1"/>
                <w:color w:val="auto"/>
              </w:rPr>
              <w:t>Trading Symbol(s)</w:t>
            </w: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50"/>
        </w:trPr>
        <w:tc>
          <w:tcPr>
            <w:tcW w:w="4840" w:type="dxa"/>
            <w:vAlign w:val="bottom"/>
            <w:gridSpan w:val="3"/>
          </w:tcPr>
          <w:p>
            <w:pPr>
              <w:jc w:val="center"/>
              <w:ind w:right="1088"/>
              <w:spacing w:after="0" w:line="151" w:lineRule="exact"/>
              <w:rPr>
                <w:sz w:val="20"/>
                <w:szCs w:val="20"/>
                <w:color w:val="auto"/>
              </w:rPr>
            </w:pPr>
            <w:r>
              <w:rPr>
                <w:rFonts w:ascii="Arial" w:cs="Arial" w:eastAsia="Arial" w:hAnsi="Arial"/>
                <w:sz w:val="14"/>
                <w:szCs w:val="14"/>
                <w:color w:val="auto"/>
              </w:rPr>
              <w:t>Class A Common Stock, $0.0001 par value per share</w:t>
            </w:r>
          </w:p>
        </w:tc>
        <w:tc>
          <w:tcPr>
            <w:tcW w:w="2480" w:type="dxa"/>
            <w:vAlign w:val="bottom"/>
          </w:tcPr>
          <w:p>
            <w:pPr>
              <w:jc w:val="center"/>
              <w:ind w:right="848"/>
              <w:spacing w:after="0" w:line="151" w:lineRule="exact"/>
              <w:rPr>
                <w:sz w:val="20"/>
                <w:szCs w:val="20"/>
                <w:color w:val="auto"/>
              </w:rPr>
            </w:pPr>
            <w:r>
              <w:rPr>
                <w:rFonts w:ascii="Arial" w:cs="Arial" w:eastAsia="Arial" w:hAnsi="Arial"/>
                <w:sz w:val="14"/>
                <w:szCs w:val="14"/>
                <w:color w:val="auto"/>
              </w:rPr>
              <w:t>TDUP</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60" w:type="dxa"/>
            <w:vAlign w:val="bottom"/>
          </w:tcPr>
          <w:p>
            <w:pPr>
              <w:jc w:val="center"/>
              <w:spacing w:after="0" w:line="151" w:lineRule="exact"/>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82"/>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rPr>
              <w:t>Long-Term Stock Exchange</w:t>
            </w:r>
          </w:p>
        </w:tc>
        <w:tc>
          <w:tcPr>
            <w:tcW w:w="0" w:type="dxa"/>
            <w:vAlign w:val="bottom"/>
          </w:tcPr>
          <w:p>
            <w:pPr>
              <w:spacing w:after="0"/>
              <w:rPr>
                <w:sz w:val="1"/>
                <w:szCs w:val="1"/>
                <w:color w:val="auto"/>
              </w:rPr>
            </w:pPr>
          </w:p>
        </w:tc>
      </w:tr>
    </w:tbl>
    <w:p>
      <w:pPr>
        <w:spacing w:after="0" w:line="37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12 months (or for such shorter period that the registrant was required to file such reports), and (2) has been subject to such filing requirements for the past</w:t>
      </w:r>
    </w:p>
    <w:p>
      <w:pPr>
        <w:spacing w:after="0" w:line="4" w:lineRule="exact"/>
        <w:rPr>
          <w:sz w:val="24"/>
          <w:szCs w:val="24"/>
          <w:color w:val="auto"/>
        </w:rPr>
      </w:pPr>
    </w:p>
    <w:p>
      <w:pPr>
        <w:spacing w:after="0" w:line="161" w:lineRule="exact"/>
        <w:tabs>
          <w:tab w:leader="none" w:pos="700" w:val="left"/>
          <w:tab w:leader="none" w:pos="130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21" w:lineRule="exact"/>
        <w:rPr>
          <w:sz w:val="24"/>
          <w:szCs w:val="24"/>
          <w:color w:val="auto"/>
        </w:rPr>
      </w:pPr>
    </w:p>
    <w:p>
      <w:pPr>
        <w:jc w:val="both"/>
        <w:spacing w:after="0" w:line="19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6" w:lineRule="exact"/>
        <w:rPr>
          <w:sz w:val="24"/>
          <w:szCs w:val="24"/>
          <w:color w:val="auto"/>
        </w:rPr>
      </w:pPr>
    </w:p>
    <w:p>
      <w:pPr>
        <w:jc w:val="both"/>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3"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4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4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6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5040" w:type="dxa"/>
            <w:vAlign w:val="bottom"/>
          </w:tcPr>
          <w:p>
            <w:pPr>
              <w:ind w:left="304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47" w:lineRule="exact"/>
        <w:rPr>
          <w:sz w:val="24"/>
          <w:szCs w:val="24"/>
          <w:color w:val="auto"/>
        </w:rPr>
      </w:pPr>
    </w:p>
    <w:p>
      <w:pPr>
        <w:spacing w:after="0" w:line="19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37" w:lineRule="exact"/>
        <w:rPr>
          <w:sz w:val="24"/>
          <w:szCs w:val="24"/>
          <w:color w:val="auto"/>
        </w:rPr>
      </w:pPr>
    </w:p>
    <w:p>
      <w:pPr>
        <w:spacing w:after="0" w:line="161" w:lineRule="exact"/>
        <w:tabs>
          <w:tab w:leader="none" w:pos="732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66" w:lineRule="exact"/>
        <w:rPr>
          <w:sz w:val="24"/>
          <w:szCs w:val="24"/>
          <w:color w:val="auto"/>
        </w:rPr>
      </w:pPr>
    </w:p>
    <w:p>
      <w:pPr>
        <w:spacing w:after="0"/>
        <w:rPr>
          <w:sz w:val="20"/>
          <w:szCs w:val="20"/>
          <w:color w:val="auto"/>
        </w:rPr>
      </w:pPr>
      <w:r>
        <w:rPr>
          <w:rFonts w:ascii="Arial" w:cs="Arial" w:eastAsia="Arial" w:hAnsi="Arial"/>
          <w:sz w:val="14"/>
          <w:szCs w:val="14"/>
          <w:color w:val="auto"/>
        </w:rPr>
        <w:t>There were 75,238,351 shares of Class A common stock and 30,230,675 shares of Class B common stock outstanding as of August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940" w:type="dxa"/>
            <w:vAlign w:val="bottom"/>
            <w:gridSpan w:val="9"/>
            <w:vMerge w:val="restart"/>
          </w:tcPr>
          <w:p>
            <w:pPr>
              <w:ind w:left="980"/>
              <w:spacing w:after="0"/>
              <w:rPr>
                <w:sz w:val="20"/>
                <w:szCs w:val="20"/>
                <w:color w:val="auto"/>
              </w:rPr>
            </w:pPr>
            <w:r>
              <w:rPr>
                <w:rFonts w:ascii="Arial" w:cs="Arial" w:eastAsia="Arial" w:hAnsi="Arial"/>
                <w:sz w:val="18"/>
                <w:szCs w:val="18"/>
                <w:b w:val="1"/>
                <w:bCs w:val="1"/>
                <w:color w:val="auto"/>
              </w:rPr>
              <w:t>PART I. FINANCIAL INFORMATION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940" w:type="dxa"/>
            <w:vAlign w:val="bottom"/>
            <w:gridSpan w:val="9"/>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8940" w:type="dxa"/>
            <w:vAlign w:val="bottom"/>
            <w:gridSpan w:val="12"/>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34"/>
        </w:trPr>
        <w:tc>
          <w:tcPr>
            <w:tcW w:w="1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760" w:type="dxa"/>
            <w:vAlign w:val="bottom"/>
            <w:gridSpan w:val="11"/>
          </w:tcPr>
          <w:p>
            <w:pPr>
              <w:spacing w:after="0" w:line="189" w:lineRule="exact"/>
              <w:rPr>
                <w:sz w:val="20"/>
                <w:szCs w:val="20"/>
                <w:color w:val="auto"/>
              </w:rPr>
            </w:pPr>
            <w:r>
              <w:rPr>
                <w:rFonts w:ascii="Arial" w:cs="Arial" w:eastAsia="Arial" w:hAnsi="Arial"/>
                <w:sz w:val="18"/>
                <w:szCs w:val="18"/>
                <w:color w:val="0000FF"/>
              </w:rPr>
              <w:t>Unaudited Condensed Consolidated Balance Sheets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980" w:type="dxa"/>
            <w:vAlign w:val="bottom"/>
            <w:tcBorders>
              <w:bottom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Unaudited Condensed Consolidated Statements of Operations</w:t>
            </w:r>
          </w:p>
        </w:tc>
        <w:tc>
          <w:tcPr>
            <w:tcW w:w="3780" w:type="dxa"/>
            <w:vAlign w:val="bottom"/>
            <w:tcBorders>
              <w:bottom w:val="single" w:sz="8" w:color="CCEEFF"/>
            </w:tcBorders>
            <w:gridSpan w:val="6"/>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760" w:type="dxa"/>
            <w:vAlign w:val="bottom"/>
            <w:gridSpan w:val="11"/>
          </w:tcPr>
          <w:p>
            <w:pPr>
              <w:spacing w:after="0" w:line="189" w:lineRule="exact"/>
              <w:rPr>
                <w:sz w:val="20"/>
                <w:szCs w:val="20"/>
                <w:color w:val="auto"/>
              </w:rPr>
            </w:pPr>
            <w:r>
              <w:rPr>
                <w:rFonts w:ascii="Arial" w:cs="Arial" w:eastAsia="Arial" w:hAnsi="Arial"/>
                <w:sz w:val="18"/>
                <w:szCs w:val="18"/>
                <w:color w:val="0000FF"/>
              </w:rPr>
              <w:t>Unaudited Condensed Consolidated Statements of Comprehensive Loss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3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72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Unaudited Condensed Consolidated Statements of Stockholders’ Equity</w:t>
            </w:r>
          </w:p>
        </w:tc>
        <w:tc>
          <w:tcPr>
            <w:tcW w:w="3040" w:type="dxa"/>
            <w:vAlign w:val="bottom"/>
            <w:tcBorders>
              <w:bottom w:val="single" w:sz="8" w:color="CCEEFF"/>
            </w:tcBorders>
            <w:gridSpan w:val="3"/>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760" w:type="dxa"/>
            <w:vAlign w:val="bottom"/>
            <w:gridSpan w:val="11"/>
          </w:tcPr>
          <w:p>
            <w:pPr>
              <w:spacing w:after="0" w:line="189" w:lineRule="exact"/>
              <w:rPr>
                <w:sz w:val="20"/>
                <w:szCs w:val="20"/>
                <w:color w:val="auto"/>
              </w:rPr>
            </w:pPr>
            <w:r>
              <w:rPr>
                <w:rFonts w:ascii="Arial" w:cs="Arial" w:eastAsia="Arial" w:hAnsi="Arial"/>
                <w:sz w:val="18"/>
                <w:szCs w:val="18"/>
                <w:color w:val="0000FF"/>
              </w:rPr>
              <w:t>Unaudited Condensed Consolidated Statements of Cash Flows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340" w:type="dxa"/>
            <w:vAlign w:val="bottom"/>
            <w:tcBorders>
              <w:bottom w:val="single" w:sz="8" w:color="0000FF"/>
            </w:tcBorders>
            <w:gridSpan w:val="7"/>
            <w:shd w:val="clear" w:color="auto" w:fill="CCEEFF"/>
          </w:tcPr>
          <w:p>
            <w:pPr>
              <w:spacing w:after="0" w:line="189" w:lineRule="exact"/>
              <w:rPr>
                <w:sz w:val="20"/>
                <w:szCs w:val="20"/>
                <w:color w:val="auto"/>
              </w:rPr>
            </w:pPr>
            <w:r>
              <w:rPr>
                <w:rFonts w:ascii="Arial" w:cs="Arial" w:eastAsia="Arial" w:hAnsi="Arial"/>
                <w:sz w:val="18"/>
                <w:szCs w:val="18"/>
                <w:color w:val="0000FF"/>
                <w:w w:val="99"/>
              </w:rPr>
              <w:t>Notes to Unaudited Condensed Consolidated Financial Statements</w:t>
            </w:r>
          </w:p>
        </w:tc>
        <w:tc>
          <w:tcPr>
            <w:tcW w:w="3420" w:type="dxa"/>
            <w:vAlign w:val="bottom"/>
            <w:tcBorders>
              <w:bottom w:val="single" w:sz="8" w:color="CCEEFF"/>
            </w:tcBorders>
            <w:gridSpan w:val="4"/>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189"/>
        </w:trPr>
        <w:tc>
          <w:tcPr>
            <w:tcW w:w="116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8940" w:type="dxa"/>
            <w:vAlign w:val="bottom"/>
            <w:gridSpan w:val="12"/>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3.</w:t>
            </w:r>
          </w:p>
        </w:tc>
        <w:tc>
          <w:tcPr>
            <w:tcW w:w="8940" w:type="dxa"/>
            <w:vAlign w:val="bottom"/>
            <w:gridSpan w:val="12"/>
            <w:shd w:val="clear" w:color="auto" w:fill="CCEEFF"/>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189"/>
        </w:trPr>
        <w:tc>
          <w:tcPr>
            <w:tcW w:w="116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2000" w:type="dxa"/>
            <w:vAlign w:val="bottom"/>
            <w:tcBorders>
              <w:top w:val="single" w:sz="8" w:color="0000FF"/>
              <w:bottom w:val="single" w:sz="8" w:color="0000FF"/>
            </w:tcBorders>
            <w:gridSpan w:val="3"/>
          </w:tcPr>
          <w:p>
            <w:pPr>
              <w:spacing w:after="0" w:line="189" w:lineRule="exact"/>
              <w:rPr>
                <w:sz w:val="20"/>
                <w:szCs w:val="20"/>
                <w:color w:val="auto"/>
              </w:rPr>
            </w:pPr>
            <w:r>
              <w:rPr>
                <w:rFonts w:ascii="Arial" w:cs="Arial" w:eastAsia="Arial" w:hAnsi="Arial"/>
                <w:sz w:val="18"/>
                <w:szCs w:val="18"/>
                <w:color w:val="0000FF"/>
                <w:w w:val="99"/>
              </w:rPr>
              <w:t>Controls and Procedures</w:t>
            </w:r>
          </w:p>
        </w:tc>
        <w:tc>
          <w:tcPr>
            <w:tcW w:w="2700" w:type="dxa"/>
            <w:vAlign w:val="bottom"/>
            <w:tcBorders>
              <w:top w:val="single" w:sz="8" w:color="0000FF"/>
            </w:tcBorders>
            <w:gridSpan w:val="2"/>
          </w:tcPr>
          <w:p>
            <w:pPr>
              <w:spacing w:after="0"/>
              <w:rPr>
                <w:sz w:val="16"/>
                <w:szCs w:val="16"/>
                <w:color w:val="auto"/>
              </w:rPr>
            </w:pPr>
          </w:p>
        </w:tc>
        <w:tc>
          <w:tcPr>
            <w:tcW w:w="4240" w:type="dxa"/>
            <w:vAlign w:val="bottom"/>
            <w:tcBorders>
              <w:top w:val="single" w:sz="8" w:color="CCEEFF"/>
            </w:tcBorders>
            <w:gridSpan w:val="7"/>
          </w:tcPr>
          <w:p>
            <w:pPr>
              <w:spacing w:after="0"/>
              <w:rPr>
                <w:sz w:val="16"/>
                <w:szCs w:val="16"/>
                <w:color w:val="auto"/>
              </w:rPr>
            </w:pPr>
          </w:p>
        </w:tc>
        <w:tc>
          <w:tcPr>
            <w:tcW w:w="1140" w:type="dxa"/>
            <w:vAlign w:val="bottom"/>
            <w:tcBorders>
              <w:top w:val="single" w:sz="8" w:color="CCEEFF"/>
            </w:tcBorders>
          </w:tcPr>
          <w:p>
            <w:pPr>
              <w:jc w:val="center"/>
              <w:spacing w:after="0" w:line="189" w:lineRule="exact"/>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8"/>
              </w:rPr>
              <w:t>PART II. OTHER INFORMATION</w:t>
            </w:r>
          </w:p>
        </w:tc>
        <w:tc>
          <w:tcPr>
            <w:tcW w:w="2480" w:type="dxa"/>
            <w:vAlign w:val="bottom"/>
          </w:tcPr>
          <w:p>
            <w:pPr>
              <w:spacing w:after="0"/>
              <w:rPr>
                <w:sz w:val="21"/>
                <w:szCs w:val="21"/>
                <w:color w:val="auto"/>
              </w:rPr>
            </w:pPr>
          </w:p>
        </w:tc>
      </w:tr>
      <w:tr>
        <w:trPr>
          <w:trHeight w:val="210"/>
        </w:trPr>
        <w:tc>
          <w:tcPr>
            <w:tcW w:w="11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Item 1.</w:t>
            </w:r>
          </w:p>
        </w:tc>
        <w:tc>
          <w:tcPr>
            <w:tcW w:w="1500" w:type="dxa"/>
            <w:vAlign w:val="bottom"/>
            <w:tcBorders>
              <w:bottom w:val="single" w:sz="8" w:color="0000FF"/>
            </w:tcBorders>
            <w:gridSpan w:val="5"/>
            <w:shd w:val="clear" w:color="auto" w:fill="CCEEFF"/>
          </w:tcPr>
          <w:p>
            <w:pPr>
              <w:spacing w:after="0" w:line="190" w:lineRule="exact"/>
              <w:rPr>
                <w:sz w:val="20"/>
                <w:szCs w:val="20"/>
                <w:color w:val="auto"/>
              </w:rPr>
            </w:pPr>
            <w:r>
              <w:rPr>
                <w:rFonts w:ascii="Arial" w:cs="Arial" w:eastAsia="Arial" w:hAnsi="Arial"/>
                <w:sz w:val="18"/>
                <w:szCs w:val="18"/>
                <w:color w:val="0000FF"/>
                <w:w w:val="99"/>
              </w:rPr>
              <w:t>Legal Proceedings</w:t>
            </w:r>
          </w:p>
        </w:tc>
        <w:tc>
          <w:tcPr>
            <w:tcW w:w="6100" w:type="dxa"/>
            <w:vAlign w:val="bottom"/>
            <w:tcBorders>
              <w:bottom w:val="single" w:sz="8" w:color="CCEEFF"/>
            </w:tcBorders>
            <w:gridSpan w:val="4"/>
            <w:shd w:val="clear" w:color="auto" w:fill="CCEEFF"/>
          </w:tcPr>
          <w:p>
            <w:pPr>
              <w:spacing w:after="0"/>
              <w:rPr>
                <w:sz w:val="18"/>
                <w:szCs w:val="18"/>
                <w:color w:val="auto"/>
              </w:rPr>
            </w:pPr>
          </w:p>
        </w:tc>
        <w:tc>
          <w:tcPr>
            <w:tcW w:w="2480" w:type="dxa"/>
            <w:vAlign w:val="bottom"/>
            <w:tcBorders>
              <w:bottom w:val="single" w:sz="8" w:color="CCEEFF"/>
            </w:tcBorders>
            <w:shd w:val="clear" w:color="auto" w:fill="CCEEFF"/>
          </w:tcPr>
          <w:p>
            <w:pPr>
              <w:jc w:val="right"/>
              <w:ind w:right="390"/>
              <w:spacing w:after="0" w:line="190" w:lineRule="exact"/>
              <w:rPr>
                <w:sz w:val="20"/>
                <w:szCs w:val="20"/>
                <w:color w:val="auto"/>
              </w:rPr>
            </w:pPr>
            <w:r>
              <w:rPr>
                <w:rFonts w:ascii="Arial" w:cs="Arial" w:eastAsia="Arial" w:hAnsi="Arial"/>
                <w:sz w:val="18"/>
                <w:szCs w:val="18"/>
                <w:color w:val="auto"/>
              </w:rPr>
              <w:t>31</w:t>
            </w:r>
          </w:p>
        </w:tc>
      </w:tr>
      <w:tr>
        <w:trPr>
          <w:trHeight w:val="189"/>
        </w:trPr>
        <w:tc>
          <w:tcPr>
            <w:tcW w:w="116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1A.</w:t>
            </w:r>
          </w:p>
        </w:tc>
        <w:tc>
          <w:tcPr>
            <w:tcW w:w="7600" w:type="dxa"/>
            <w:vAlign w:val="bottom"/>
            <w:gridSpan w:val="9"/>
          </w:tcPr>
          <w:p>
            <w:pPr>
              <w:spacing w:after="0" w:line="189" w:lineRule="exact"/>
              <w:rPr>
                <w:sz w:val="20"/>
                <w:szCs w:val="20"/>
                <w:color w:val="auto"/>
              </w:rPr>
            </w:pPr>
            <w:r>
              <w:rPr>
                <w:rFonts w:ascii="Arial" w:cs="Arial" w:eastAsia="Arial" w:hAnsi="Arial"/>
                <w:sz w:val="18"/>
                <w:szCs w:val="18"/>
                <w:color w:val="0000FF"/>
              </w:rPr>
              <w:t>Risk Factors</w:t>
            </w:r>
          </w:p>
        </w:tc>
        <w:tc>
          <w:tcPr>
            <w:tcW w:w="2480" w:type="dxa"/>
            <w:vAlign w:val="bottom"/>
          </w:tcPr>
          <w:p>
            <w:pPr>
              <w:jc w:val="right"/>
              <w:ind w:right="390"/>
              <w:spacing w:after="0" w:line="189" w:lineRule="exact"/>
              <w:rPr>
                <w:sz w:val="20"/>
                <w:szCs w:val="20"/>
                <w:color w:val="auto"/>
              </w:rPr>
            </w:pPr>
            <w:r>
              <w:rPr>
                <w:rFonts w:ascii="Arial" w:cs="Arial" w:eastAsia="Arial" w:hAnsi="Arial"/>
                <w:sz w:val="18"/>
                <w:szCs w:val="18"/>
                <w:color w:val="auto"/>
              </w:rPr>
              <w:t>31</w:t>
            </w:r>
          </w:p>
        </w:tc>
      </w:tr>
      <w:tr>
        <w:trPr>
          <w:trHeight w:val="21"/>
        </w:trPr>
        <w:tc>
          <w:tcPr>
            <w:tcW w:w="11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23"/>
        </w:trPr>
        <w:tc>
          <w:tcPr>
            <w:tcW w:w="11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486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2740" w:type="dxa"/>
            <w:vAlign w:val="bottom"/>
            <w:tcBorders>
              <w:bottom w:val="single" w:sz="8" w:color="CCEEFF"/>
            </w:tcBorders>
            <w:shd w:val="clear" w:color="auto" w:fill="CCEEFF"/>
          </w:tcPr>
          <w:p>
            <w:pPr>
              <w:spacing w:after="0"/>
              <w:rPr>
                <w:sz w:val="19"/>
                <w:szCs w:val="19"/>
                <w:color w:val="auto"/>
              </w:rPr>
            </w:pPr>
          </w:p>
        </w:tc>
        <w:tc>
          <w:tcPr>
            <w:tcW w:w="2480" w:type="dxa"/>
            <w:vAlign w:val="bottom"/>
            <w:tcBorders>
              <w:bottom w:val="single" w:sz="8" w:color="CCEEFF"/>
            </w:tcBorders>
            <w:shd w:val="clear" w:color="auto" w:fill="CCEEFF"/>
          </w:tcPr>
          <w:p>
            <w:pPr>
              <w:jc w:val="right"/>
              <w:ind w:right="390"/>
              <w:spacing w:after="0" w:line="189" w:lineRule="exact"/>
              <w:rPr>
                <w:sz w:val="20"/>
                <w:szCs w:val="20"/>
                <w:color w:val="auto"/>
              </w:rPr>
            </w:pPr>
            <w:r>
              <w:rPr>
                <w:rFonts w:ascii="Arial" w:cs="Arial" w:eastAsia="Arial" w:hAnsi="Arial"/>
                <w:sz w:val="18"/>
                <w:szCs w:val="18"/>
                <w:color w:val="auto"/>
              </w:rPr>
              <w:t>31</w:t>
            </w:r>
          </w:p>
        </w:tc>
      </w:tr>
      <w:tr>
        <w:trPr>
          <w:trHeight w:val="189"/>
        </w:trPr>
        <w:tc>
          <w:tcPr>
            <w:tcW w:w="116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3.</w:t>
            </w:r>
          </w:p>
        </w:tc>
        <w:tc>
          <w:tcPr>
            <w:tcW w:w="7600" w:type="dxa"/>
            <w:vAlign w:val="bottom"/>
            <w:gridSpan w:val="9"/>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2480" w:type="dxa"/>
            <w:vAlign w:val="bottom"/>
          </w:tcPr>
          <w:p>
            <w:pPr>
              <w:jc w:val="right"/>
              <w:ind w:right="390"/>
              <w:spacing w:after="0" w:line="189" w:lineRule="exact"/>
              <w:rPr>
                <w:sz w:val="20"/>
                <w:szCs w:val="20"/>
                <w:color w:val="auto"/>
              </w:rPr>
            </w:pPr>
            <w:r>
              <w:rPr>
                <w:rFonts w:ascii="Arial" w:cs="Arial" w:eastAsia="Arial" w:hAnsi="Arial"/>
                <w:sz w:val="18"/>
                <w:szCs w:val="18"/>
                <w:color w:val="auto"/>
              </w:rPr>
              <w:t>31</w:t>
            </w:r>
          </w:p>
        </w:tc>
      </w:tr>
      <w:tr>
        <w:trPr>
          <w:trHeight w:val="21"/>
        </w:trPr>
        <w:tc>
          <w:tcPr>
            <w:tcW w:w="11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09"/>
        </w:trPr>
        <w:tc>
          <w:tcPr>
            <w:tcW w:w="11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1940" w:type="dxa"/>
            <w:vAlign w:val="bottom"/>
            <w:tcBorders>
              <w:bottom w:val="single" w:sz="8" w:color="0000FF"/>
            </w:tcBorders>
            <w:gridSpan w:val="6"/>
            <w:shd w:val="clear" w:color="auto" w:fill="CCEEFF"/>
          </w:tcPr>
          <w:p>
            <w:pPr>
              <w:spacing w:after="0" w:line="189" w:lineRule="exact"/>
              <w:rPr>
                <w:sz w:val="20"/>
                <w:szCs w:val="20"/>
                <w:color w:val="auto"/>
              </w:rPr>
            </w:pPr>
            <w:r>
              <w:rPr>
                <w:rFonts w:ascii="Arial" w:cs="Arial" w:eastAsia="Arial" w:hAnsi="Arial"/>
                <w:sz w:val="18"/>
                <w:szCs w:val="18"/>
                <w:color w:val="0000FF"/>
                <w:w w:val="99"/>
              </w:rPr>
              <w:t>Mine Safety Disclosures</w:t>
            </w:r>
          </w:p>
        </w:tc>
        <w:tc>
          <w:tcPr>
            <w:tcW w:w="5660" w:type="dxa"/>
            <w:vAlign w:val="bottom"/>
            <w:tcBorders>
              <w:bottom w:val="single" w:sz="8" w:color="CCEEFF"/>
            </w:tcBorders>
            <w:gridSpan w:val="3"/>
            <w:shd w:val="clear" w:color="auto" w:fill="CCEEFF"/>
          </w:tcPr>
          <w:p>
            <w:pPr>
              <w:spacing w:after="0"/>
              <w:rPr>
                <w:sz w:val="18"/>
                <w:szCs w:val="18"/>
                <w:color w:val="auto"/>
              </w:rPr>
            </w:pPr>
          </w:p>
        </w:tc>
        <w:tc>
          <w:tcPr>
            <w:tcW w:w="2480" w:type="dxa"/>
            <w:vAlign w:val="bottom"/>
            <w:tcBorders>
              <w:bottom w:val="single" w:sz="8" w:color="CCEEFF"/>
            </w:tcBorders>
            <w:shd w:val="clear" w:color="auto" w:fill="CCEEFF"/>
          </w:tcPr>
          <w:p>
            <w:pPr>
              <w:jc w:val="right"/>
              <w:ind w:right="390"/>
              <w:spacing w:after="0" w:line="189" w:lineRule="exact"/>
              <w:rPr>
                <w:sz w:val="20"/>
                <w:szCs w:val="20"/>
                <w:color w:val="auto"/>
              </w:rPr>
            </w:pPr>
            <w:r>
              <w:rPr>
                <w:rFonts w:ascii="Arial" w:cs="Arial" w:eastAsia="Arial" w:hAnsi="Arial"/>
                <w:sz w:val="18"/>
                <w:szCs w:val="18"/>
                <w:color w:val="auto"/>
              </w:rPr>
              <w:t>31</w:t>
            </w:r>
          </w:p>
        </w:tc>
      </w:tr>
      <w:tr>
        <w:trPr>
          <w:trHeight w:val="189"/>
        </w:trPr>
        <w:tc>
          <w:tcPr>
            <w:tcW w:w="116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5.</w:t>
            </w:r>
          </w:p>
        </w:tc>
        <w:tc>
          <w:tcPr>
            <w:tcW w:w="7600" w:type="dxa"/>
            <w:vAlign w:val="bottom"/>
            <w:gridSpan w:val="9"/>
          </w:tcPr>
          <w:p>
            <w:pPr>
              <w:spacing w:after="0" w:line="189" w:lineRule="exact"/>
              <w:rPr>
                <w:sz w:val="20"/>
                <w:szCs w:val="20"/>
                <w:color w:val="auto"/>
              </w:rPr>
            </w:pPr>
            <w:r>
              <w:rPr>
                <w:rFonts w:ascii="Arial" w:cs="Arial" w:eastAsia="Arial" w:hAnsi="Arial"/>
                <w:sz w:val="18"/>
                <w:szCs w:val="18"/>
                <w:color w:val="0000FF"/>
              </w:rPr>
              <w:t>Other Information</w:t>
            </w:r>
          </w:p>
        </w:tc>
        <w:tc>
          <w:tcPr>
            <w:tcW w:w="2480" w:type="dxa"/>
            <w:vAlign w:val="bottom"/>
          </w:tcPr>
          <w:p>
            <w:pPr>
              <w:jc w:val="right"/>
              <w:ind w:right="390"/>
              <w:spacing w:after="0" w:line="189" w:lineRule="exact"/>
              <w:rPr>
                <w:sz w:val="20"/>
                <w:szCs w:val="20"/>
                <w:color w:val="auto"/>
              </w:rPr>
            </w:pPr>
            <w:r>
              <w:rPr>
                <w:rFonts w:ascii="Arial" w:cs="Arial" w:eastAsia="Arial" w:hAnsi="Arial"/>
                <w:sz w:val="18"/>
                <w:szCs w:val="18"/>
                <w:color w:val="auto"/>
              </w:rPr>
              <w:t>31</w:t>
            </w:r>
          </w:p>
        </w:tc>
      </w:tr>
      <w:tr>
        <w:trPr>
          <w:trHeight w:val="34"/>
        </w:trPr>
        <w:tc>
          <w:tcPr>
            <w:tcW w:w="116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09"/>
        </w:trPr>
        <w:tc>
          <w:tcPr>
            <w:tcW w:w="11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6.</w:t>
            </w:r>
          </w:p>
        </w:tc>
        <w:tc>
          <w:tcPr>
            <w:tcW w:w="64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Exhibits</w:t>
            </w:r>
          </w:p>
        </w:tc>
        <w:tc>
          <w:tcPr>
            <w:tcW w:w="6960" w:type="dxa"/>
            <w:vAlign w:val="bottom"/>
            <w:tcBorders>
              <w:bottom w:val="single" w:sz="8" w:color="CCEEFF"/>
            </w:tcBorders>
            <w:gridSpan w:val="8"/>
            <w:shd w:val="clear" w:color="auto" w:fill="CCEEFF"/>
          </w:tcPr>
          <w:p>
            <w:pPr>
              <w:spacing w:after="0"/>
              <w:rPr>
                <w:sz w:val="18"/>
                <w:szCs w:val="18"/>
                <w:color w:val="auto"/>
              </w:rPr>
            </w:pPr>
          </w:p>
        </w:tc>
        <w:tc>
          <w:tcPr>
            <w:tcW w:w="2480" w:type="dxa"/>
            <w:vAlign w:val="bottom"/>
            <w:tcBorders>
              <w:bottom w:val="single" w:sz="8" w:color="CCEEFF"/>
            </w:tcBorders>
            <w:shd w:val="clear" w:color="auto" w:fill="CCEEFF"/>
          </w:tcPr>
          <w:p>
            <w:pPr>
              <w:jc w:val="right"/>
              <w:ind w:right="390"/>
              <w:spacing w:after="0" w:line="189" w:lineRule="exact"/>
              <w:rPr>
                <w:sz w:val="20"/>
                <w:szCs w:val="20"/>
                <w:color w:val="auto"/>
              </w:rPr>
            </w:pPr>
            <w:r>
              <w:rPr>
                <w:rFonts w:ascii="Arial" w:cs="Arial" w:eastAsia="Arial" w:hAnsi="Arial"/>
                <w:sz w:val="18"/>
                <w:szCs w:val="18"/>
                <w:color w:val="auto"/>
              </w:rPr>
              <w:t>31</w:t>
            </w:r>
          </w:p>
        </w:tc>
      </w:tr>
      <w:tr>
        <w:trPr>
          <w:trHeight w:val="189"/>
        </w:trPr>
        <w:tc>
          <w:tcPr>
            <w:tcW w:w="1160" w:type="dxa"/>
            <w:vAlign w:val="bottom"/>
          </w:tcPr>
          <w:p>
            <w:pPr>
              <w:spacing w:after="0"/>
              <w:rPr>
                <w:sz w:val="16"/>
                <w:szCs w:val="16"/>
                <w:color w:val="auto"/>
              </w:rPr>
            </w:pPr>
          </w:p>
        </w:tc>
        <w:tc>
          <w:tcPr>
            <w:tcW w:w="7600" w:type="dxa"/>
            <w:vAlign w:val="bottom"/>
            <w:gridSpan w:val="9"/>
          </w:tcPr>
          <w:p>
            <w:pPr>
              <w:spacing w:after="0" w:line="189" w:lineRule="exact"/>
              <w:rPr>
                <w:sz w:val="20"/>
                <w:szCs w:val="20"/>
                <w:color w:val="auto"/>
              </w:rPr>
            </w:pPr>
            <w:r>
              <w:rPr>
                <w:rFonts w:ascii="Arial" w:cs="Arial" w:eastAsia="Arial" w:hAnsi="Arial"/>
                <w:sz w:val="18"/>
                <w:szCs w:val="18"/>
                <w:color w:val="0000FF"/>
              </w:rPr>
              <w:t>Signatures</w:t>
            </w:r>
          </w:p>
        </w:tc>
        <w:tc>
          <w:tcPr>
            <w:tcW w:w="2480" w:type="dxa"/>
            <w:vAlign w:val="bottom"/>
          </w:tcPr>
          <w:p>
            <w:pPr>
              <w:jc w:val="right"/>
              <w:ind w:right="390"/>
              <w:spacing w:after="0" w:line="189" w:lineRule="exact"/>
              <w:rPr>
                <w:sz w:val="20"/>
                <w:szCs w:val="20"/>
                <w:color w:val="auto"/>
              </w:rPr>
            </w:pPr>
            <w:r>
              <w:rPr>
                <w:rFonts w:ascii="Arial" w:cs="Arial" w:eastAsia="Arial" w:hAnsi="Arial"/>
                <w:sz w:val="18"/>
                <w:szCs w:val="18"/>
                <w:color w:val="auto"/>
              </w:rPr>
              <w:t>33</w:t>
            </w:r>
          </w:p>
        </w:tc>
      </w:tr>
      <w:tr>
        <w:trPr>
          <w:trHeight w:val="763"/>
        </w:trPr>
        <w:tc>
          <w:tcPr>
            <w:tcW w:w="1160" w:type="dxa"/>
            <w:vAlign w:val="bottom"/>
          </w:tcPr>
          <w:p>
            <w:pPr>
              <w:spacing w:after="0"/>
              <w:rPr>
                <w:sz w:val="24"/>
                <w:szCs w:val="24"/>
                <w:color w:val="auto"/>
              </w:rPr>
            </w:pPr>
          </w:p>
        </w:tc>
        <w:tc>
          <w:tcPr>
            <w:tcW w:w="860" w:type="dxa"/>
            <w:vAlign w:val="bottom"/>
            <w:tcBorders>
              <w:top w:val="single" w:sz="8" w:color="0000FF"/>
            </w:tcBorders>
            <w:gridSpan w:val="2"/>
          </w:tcPr>
          <w:p>
            <w:pPr>
              <w:spacing w:after="0"/>
              <w:rPr>
                <w:sz w:val="24"/>
                <w:szCs w:val="24"/>
                <w:color w:val="auto"/>
              </w:rPr>
            </w:pPr>
          </w:p>
        </w:tc>
        <w:tc>
          <w:tcPr>
            <w:tcW w:w="4000" w:type="dxa"/>
            <w:vAlign w:val="bottom"/>
            <w:gridSpan w:val="6"/>
          </w:tcPr>
          <w:p>
            <w:pPr>
              <w:jc w:val="right"/>
              <w:ind w:right="250"/>
              <w:spacing w:after="0"/>
              <w:rPr>
                <w:sz w:val="20"/>
                <w:szCs w:val="20"/>
                <w:color w:val="auto"/>
              </w:rPr>
            </w:pPr>
            <w:r>
              <w:rPr>
                <w:rFonts w:ascii="Arial" w:cs="Arial" w:eastAsia="Arial" w:hAnsi="Arial"/>
                <w:sz w:val="18"/>
                <w:szCs w:val="18"/>
                <w:color w:val="auto"/>
              </w:rPr>
              <w:t>2</w:t>
            </w:r>
          </w:p>
        </w:tc>
        <w:tc>
          <w:tcPr>
            <w:tcW w:w="27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77" w:lineRule="exact"/>
        <w:rPr>
          <w:sz w:val="20"/>
          <w:szCs w:val="20"/>
          <w:color w:val="auto"/>
        </w:rPr>
      </w:pPr>
    </w:p>
    <w:p>
      <w:pPr>
        <w:ind w:left="660" w:hanging="328"/>
        <w:spacing w:after="0" w:line="282" w:lineRule="auto"/>
        <w:tabs>
          <w:tab w:leader="none" w:pos="63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future financial performance, including our revenue, cost of revenue and operating expenses and our ability to achieve and maintain future profitability;</w:t>
      </w:r>
    </w:p>
    <w:p>
      <w:pPr>
        <w:spacing w:after="0" w:line="53"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our cash, cash equivalents and capital resources to meet our liquidity needs;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or sustain our growth and to effectively expand our operations;</w:t>
      </w:r>
    </w:p>
    <w:p>
      <w:pPr>
        <w:spacing w:after="0" w:line="117" w:lineRule="exact"/>
        <w:rPr>
          <w:rFonts w:ascii="Arial" w:cs="Arial" w:eastAsia="Arial" w:hAnsi="Arial"/>
          <w:sz w:val="18"/>
          <w:szCs w:val="18"/>
          <w:i w:val="1"/>
          <w:iCs w:val="1"/>
          <w:color w:val="auto"/>
        </w:rPr>
      </w:pPr>
    </w:p>
    <w:p>
      <w:pPr>
        <w:ind w:left="660" w:hanging="328"/>
        <w:spacing w:after="0" w:line="282" w:lineRule="auto"/>
        <w:tabs>
          <w:tab w:leader="none" w:pos="63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strategies, plans, objectives and goals, including our expectations regarding future infrastructure investments as well as restructuring activities;</w:t>
      </w:r>
    </w:p>
    <w:p>
      <w:pPr>
        <w:spacing w:after="0" w:line="53"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the continued impact of network effects as we scale our platform;</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generate revenue from new Resale-as-a-Service (“RaaS”) offerings as sources of revenue;</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trends in our key financial and operating metrics;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estimated market opportunity;</w:t>
      </w:r>
    </w:p>
    <w:p>
      <w:pPr>
        <w:spacing w:after="0" w:line="117" w:lineRule="exact"/>
        <w:rPr>
          <w:rFonts w:ascii="Arial" w:cs="Arial" w:eastAsia="Arial" w:hAnsi="Arial"/>
          <w:sz w:val="18"/>
          <w:szCs w:val="18"/>
          <w:i w:val="1"/>
          <w:iCs w:val="1"/>
          <w:color w:val="auto"/>
        </w:rPr>
      </w:pPr>
    </w:p>
    <w:p>
      <w:pPr>
        <w:ind w:left="660" w:hanging="328"/>
        <w:spacing w:after="0" w:line="282" w:lineRule="auto"/>
        <w:tabs>
          <w:tab w:leader="none" w:pos="63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industry trends, projected growth or trend analysis, including the effects of foreign currency exchange rate fluctuations, inflationary pressures, increased interest rates, changing consumer habits and general global economic uncertainty;</w:t>
      </w:r>
    </w:p>
    <w:p>
      <w:pPr>
        <w:spacing w:after="0" w:line="53"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applicable laws and regulations;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remediate our material weakness in our internal control over financial reporting;</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and realize the benefits of our past or future strategic acquisitions or investments; and</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increased expenses associated with being a public company.</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You should not rely upon forward-looking statements as predictions of future events. The outcome of the events described in these forward-looking statements is subject to risks, uncertainties and other factors described in Part I, Item 1A, </w:t>
      </w:r>
      <w:r>
        <w:rPr>
          <w:rFonts w:ascii="Arial" w:cs="Arial" w:eastAsia="Arial" w:hAnsi="Arial"/>
          <w:sz w:val="18"/>
          <w:szCs w:val="18"/>
          <w:color w:val="auto"/>
        </w:rPr>
        <w:t>Risk Factors</w:t>
      </w:r>
      <w:r>
        <w:rPr>
          <w:rFonts w:ascii="Arial" w:cs="Arial" w:eastAsia="Arial" w:hAnsi="Arial"/>
          <w:sz w:val="18"/>
          <w:szCs w:val="18"/>
          <w:i w:val="1"/>
          <w:iCs w:val="1"/>
          <w:color w:val="auto"/>
        </w:rPr>
        <w:t>, of our Annual Report on Form 10-K for the year ended December 31, 2022, in Part II, Item 1A, Risk Factors, in our Quarterly Report on Form 10-Q for the quarter ended March 31, 2023 and elsewhere in this Quarterly Report on Form 10-Q, as well as in our other filings with the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8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Unless otherwise indicated or unless the context requires otherwise, all references in this document to “thredUP”, “the Company”, “we”, “us”, “our”, or similar references are to ThredUp Inc. and its consolidated subsidiaries.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thredUP is one of the world’s largest online resale platforms for apparel, shoes and accessories, based primarily on items processed, items sold and the capacity of our distribution centers.</w:t>
      </w:r>
    </w:p>
    <w:p>
      <w:pPr>
        <w:spacing w:after="0" w:line="1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472"/>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291"/>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r>
      <w:tr>
        <w:trPr>
          <w:trHeight w:val="190"/>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80" w:type="dxa"/>
            <w:vAlign w:val="bottom"/>
            <w:gridSpan w:val="4"/>
          </w:tcPr>
          <w:p>
            <w:pPr>
              <w:jc w:val="right"/>
              <w:ind w:right="311"/>
              <w:spacing w:after="0"/>
              <w:rPr>
                <w:sz w:val="20"/>
                <w:szCs w:val="20"/>
                <w:color w:val="auto"/>
              </w:rPr>
            </w:pPr>
            <w:r>
              <w:rPr>
                <w:rFonts w:ascii="Arial" w:cs="Arial" w:eastAsia="Arial" w:hAnsi="Arial"/>
                <w:sz w:val="14"/>
                <w:szCs w:val="14"/>
                <w:i w:val="1"/>
                <w:iCs w:val="1"/>
                <w:color w:val="auto"/>
              </w:rPr>
              <w:t>(in thousands, except par value amounts)</w:t>
            </w:r>
          </w:p>
        </w:tc>
      </w:tr>
      <w:tr>
        <w:trPr>
          <w:trHeight w:val="236"/>
        </w:trPr>
        <w:tc>
          <w:tcPr>
            <w:tcW w:w="780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6"/>
        </w:trPr>
        <w:tc>
          <w:tcPr>
            <w:tcW w:w="78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6"/>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38,029</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25,856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66,902</w:t>
            </w:r>
          </w:p>
        </w:tc>
      </w:tr>
      <w:tr>
        <w:trPr>
          <w:trHeight w:val="243"/>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20,362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17,519</w:t>
            </w:r>
          </w:p>
        </w:tc>
      </w:tr>
      <w:tr>
        <w:trPr>
          <w:trHeight w:val="229"/>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109,311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134,195</w:t>
            </w: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46,153</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93,786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92,482</w:t>
            </w: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11,592</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10,499</w:t>
            </w:r>
          </w:p>
        </w:tc>
      </w:tr>
      <w:tr>
        <w:trPr>
          <w:trHeight w:val="229"/>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7,027</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276,331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301,948</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3"/>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43,334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50,155</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Seller payable</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16,166</w:t>
            </w:r>
          </w:p>
        </w:tc>
      </w:tr>
      <w:tr>
        <w:trPr>
          <w:trHeight w:val="236"/>
        </w:trPr>
        <w:tc>
          <w:tcPr>
            <w:tcW w:w="7800" w:type="dxa"/>
            <w:vAlign w:val="bottom"/>
          </w:tcPr>
          <w:p>
            <w:pPr>
              <w:ind w:left="18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5,834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6,413</w:t>
            </w:r>
          </w:p>
        </w:tc>
      </w:tr>
      <w:tr>
        <w:trPr>
          <w:trHeight w:val="236"/>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81,249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84,413</w:t>
            </w: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48,727</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25,788</w:t>
            </w:r>
          </w:p>
        </w:tc>
      </w:tr>
      <w:tr>
        <w:trPr>
          <w:trHeight w:val="23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155,733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161,947</w:t>
            </w: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10)</w:t>
            </w: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76"/>
        </w:trPr>
        <w:tc>
          <w:tcPr>
            <w:tcW w:w="78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Class A and B common stock, $0.0001 par value; 1,120,000 shares authorized as of June 30,</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9"/>
        </w:trPr>
        <w:tc>
          <w:tcPr>
            <w:tcW w:w="78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2023 and December 31, 2022; 105,335 and 101,532 shares issued and outstanding as of</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2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June 30, 2023 and December 31, 2022, respectively</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569,780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551,852</w:t>
            </w:r>
          </w:p>
        </w:tc>
      </w:tr>
      <w:tr>
        <w:trPr>
          <w:trHeight w:val="243"/>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(446,180)</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(407,627)</w:t>
            </w:r>
          </w:p>
        </w:tc>
      </w:tr>
      <w:tr>
        <w:trPr>
          <w:trHeight w:val="22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120,598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140,001</w:t>
            </w:r>
          </w:p>
        </w:tc>
      </w:tr>
      <w:tr>
        <w:trPr>
          <w:trHeight w:val="236"/>
        </w:trPr>
        <w:tc>
          <w:tcPr>
            <w:tcW w:w="78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276,331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301,948</w:t>
            </w:r>
          </w:p>
        </w:tc>
      </w:tr>
      <w:tr>
        <w:trPr>
          <w:trHeight w:val="21"/>
        </w:trPr>
        <w:tc>
          <w:tcPr>
            <w:tcW w:w="7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4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3"/>
        </w:trPr>
        <w:tc>
          <w:tcPr>
            <w:tcW w:w="4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jc w:val="right"/>
              <w:ind w:right="452"/>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right"/>
              <w:ind w:right="452"/>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jc w:val="right"/>
              <w:ind w:right="452"/>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jc w:val="right"/>
              <w:ind w:right="452"/>
              <w:spacing w:after="0" w:line="14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0"/>
        </w:trPr>
        <w:tc>
          <w:tcPr>
            <w:tcW w:w="4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60" w:type="dxa"/>
            <w:vAlign w:val="bottom"/>
            <w:gridSpan w:val="4"/>
          </w:tcPr>
          <w:p>
            <w:pPr>
              <w:jc w:val="right"/>
              <w:ind w:right="292"/>
              <w:spacing w:after="0"/>
              <w:rPr>
                <w:sz w:val="20"/>
                <w:szCs w:val="20"/>
                <w:color w:val="auto"/>
              </w:rPr>
            </w:pPr>
            <w:r>
              <w:rPr>
                <w:rFonts w:ascii="Arial" w:cs="Arial" w:eastAsia="Arial" w:hAnsi="Arial"/>
                <w:sz w:val="14"/>
                <w:szCs w:val="14"/>
                <w:i w:val="1"/>
                <w:iCs w:val="1"/>
                <w:color w:val="auto"/>
              </w:rPr>
              <w:t>(in thousands, except per share amounts)</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180"/>
              <w:spacing w:after="0"/>
              <w:rPr>
                <w:sz w:val="20"/>
                <w:szCs w:val="20"/>
                <w:color w:val="auto"/>
              </w:rPr>
            </w:pPr>
            <w:r>
              <w:rPr>
                <w:rFonts w:ascii="Arial" w:cs="Arial" w:eastAsia="Arial" w:hAnsi="Arial"/>
                <w:sz w:val="18"/>
                <w:szCs w:val="18"/>
                <w:color w:val="auto"/>
              </w:rPr>
              <w:t>Consignment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53,415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48,536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99,894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95,971</w:t>
            </w: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29,243</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53,145</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82,658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158,580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149,116</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180"/>
              <w:spacing w:after="0"/>
              <w:rPr>
                <w:sz w:val="20"/>
                <w:szCs w:val="20"/>
                <w:color w:val="auto"/>
              </w:rPr>
            </w:pPr>
            <w:r>
              <w:rPr>
                <w:rFonts w:ascii="Arial" w:cs="Arial" w:eastAsia="Arial" w:hAnsi="Arial"/>
                <w:sz w:val="18"/>
                <w:szCs w:val="18"/>
                <w:color w:val="auto"/>
              </w:rPr>
              <w:t>Consignment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20,267</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25,973</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26,926</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46,240</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102,876</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product, and technology</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83,122</w:t>
            </w:r>
          </w:p>
        </w:tc>
        <w:tc>
          <w:tcPr>
            <w:tcW w:w="0" w:type="dxa"/>
            <w:vAlign w:val="bottom"/>
          </w:tcPr>
          <w:p>
            <w:pPr>
              <w:spacing w:after="0"/>
              <w:rPr>
                <w:sz w:val="1"/>
                <w:szCs w:val="1"/>
                <w:color w:val="auto"/>
              </w:rPr>
            </w:pPr>
          </w:p>
        </w:tc>
      </w:tr>
      <w:tr>
        <w:trPr>
          <w:trHeight w:val="229"/>
        </w:trPr>
        <w:tc>
          <w:tcPr>
            <w:tcW w:w="4300" w:type="dxa"/>
            <w:vAlign w:val="bottom"/>
          </w:tcPr>
          <w:p>
            <w:pPr>
              <w:ind w:left="180"/>
              <w:spacing w:after="0"/>
              <w:rPr>
                <w:sz w:val="20"/>
                <w:szCs w:val="20"/>
                <w:color w:val="auto"/>
              </w:rPr>
            </w:pPr>
            <w:r>
              <w:rPr>
                <w:rFonts w:ascii="Arial" w:cs="Arial" w:eastAsia="Arial" w:hAnsi="Arial"/>
                <w:sz w:val="18"/>
                <w:szCs w:val="18"/>
                <w:color w:val="auto"/>
              </w:rPr>
              <w:t>Marketing</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35,513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36,618</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32,044</w:t>
            </w:r>
          </w:p>
        </w:tc>
        <w:tc>
          <w:tcPr>
            <w:tcW w:w="0" w:type="dxa"/>
            <w:vAlign w:val="bottom"/>
          </w:tcPr>
          <w:p>
            <w:pPr>
              <w:spacing w:after="0"/>
              <w:rPr>
                <w:sz w:val="1"/>
                <w:szCs w:val="1"/>
                <w:color w:val="auto"/>
              </w:rPr>
            </w:pPr>
          </w:p>
        </w:tc>
      </w:tr>
      <w:tr>
        <w:trPr>
          <w:trHeight w:val="236"/>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74,444</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145,720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151,784</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(48,908)</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(18,748)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(28,390)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(38,532)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(49,085)</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(18,760)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(28,399)</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(38,553)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(49,107)</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share, basic and 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176"/>
        </w:trPr>
        <w:tc>
          <w:tcPr>
            <w:tcW w:w="430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shares used in computing loss</w:t>
            </w:r>
          </w:p>
        </w:tc>
        <w:tc>
          <w:tcPr>
            <w:tcW w:w="3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103,905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99,331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102,911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98,979</w:t>
            </w:r>
          </w:p>
        </w:tc>
        <w:tc>
          <w:tcPr>
            <w:tcW w:w="0" w:type="dxa"/>
            <w:vAlign w:val="bottom"/>
          </w:tcPr>
          <w:p>
            <w:pPr>
              <w:spacing w:after="0"/>
              <w:rPr>
                <w:sz w:val="1"/>
                <w:szCs w:val="1"/>
                <w:color w:val="auto"/>
              </w:rPr>
            </w:pPr>
          </w:p>
        </w:tc>
      </w:tr>
      <w:tr>
        <w:trPr>
          <w:trHeight w:val="229"/>
        </w:trPr>
        <w:tc>
          <w:tcPr>
            <w:tcW w:w="4300" w:type="dxa"/>
            <w:vAlign w:val="bottom"/>
          </w:tcPr>
          <w:p>
            <w:pPr>
              <w:ind w:left="180"/>
              <w:spacing w:after="0"/>
              <w:rPr>
                <w:sz w:val="20"/>
                <w:szCs w:val="20"/>
                <w:color w:val="auto"/>
              </w:rPr>
            </w:pPr>
            <w:r>
              <w:rPr>
                <w:rFonts w:ascii="Arial" w:cs="Arial" w:eastAsia="Arial" w:hAnsi="Arial"/>
                <w:sz w:val="18"/>
                <w:szCs w:val="18"/>
                <w:color w:val="auto"/>
              </w:rPr>
              <w:t>per share, basic and diluted</w:t>
            </w:r>
          </w:p>
        </w:tc>
        <w:tc>
          <w:tcPr>
            <w:tcW w:w="3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4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91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99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3"/>
        </w:trPr>
        <w:tc>
          <w:tcPr>
            <w:tcW w:w="4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jc w:val="right"/>
              <w:ind w:right="477"/>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jc w:val="right"/>
              <w:ind w:right="457"/>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Pr>
          <w:p>
            <w:pPr>
              <w:jc w:val="right"/>
              <w:ind w:right="457"/>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jc w:val="right"/>
              <w:ind w:right="455"/>
              <w:spacing w:after="0" w:line="14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0"/>
        </w:trPr>
        <w:tc>
          <w:tcPr>
            <w:tcW w:w="4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(28,399)</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(49,107)</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176"/>
        </w:trPr>
        <w:tc>
          <w:tcPr>
            <w:tcW w:w="4300" w:type="dxa"/>
            <w:vAlign w:val="bottom"/>
          </w:tcPr>
          <w:p>
            <w:pPr>
              <w:ind w:left="180"/>
              <w:spacing w:after="0" w:line="176" w:lineRule="exact"/>
              <w:rPr>
                <w:sz w:val="20"/>
                <w:szCs w:val="20"/>
                <w:color w:val="auto"/>
              </w:rPr>
            </w:pPr>
            <w:r>
              <w:rPr>
                <w:rFonts w:ascii="Arial" w:cs="Arial" w:eastAsia="Arial" w:hAnsi="Arial"/>
                <w:sz w:val="18"/>
                <w:szCs w:val="18"/>
                <w:color w:val="auto"/>
              </w:rPr>
              <w:t>Unrealized gain (loss) on available-for-sale</w:t>
            </w:r>
          </w:p>
        </w:tc>
        <w:tc>
          <w:tcPr>
            <w:tcW w:w="3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securities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(18,693)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(30,986)</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(37,332)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(53,404)</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3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48"/>
              <w:spacing w:after="0" w:line="131"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8"/>
              <w:spacing w:after="0" w:line="148"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01"/>
        </w:trPr>
        <w:tc>
          <w:tcPr>
            <w:tcW w:w="3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in Capital</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6"/>
          </w:tcPr>
          <w:p>
            <w:pPr>
              <w:jc w:val="right"/>
              <w:ind w:right="748"/>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101,532</w:t>
            </w:r>
          </w:p>
        </w:tc>
        <w:tc>
          <w:tcPr>
            <w:tcW w:w="1040" w:type="dxa"/>
            <w:vAlign w:val="bottom"/>
            <w:gridSpan w:val="3"/>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551,852</w:t>
            </w:r>
          </w:p>
        </w:tc>
        <w:tc>
          <w:tcPr>
            <w:tcW w:w="2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(407,627)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140,001</w:t>
            </w:r>
          </w:p>
        </w:tc>
        <w:tc>
          <w:tcPr>
            <w:tcW w:w="0" w:type="dxa"/>
            <w:vAlign w:val="bottom"/>
          </w:tcPr>
          <w:p>
            <w:pPr>
              <w:spacing w:after="0"/>
              <w:rPr>
                <w:sz w:val="1"/>
                <w:szCs w:val="1"/>
                <w:color w:val="auto"/>
              </w:rPr>
            </w:pPr>
          </w:p>
        </w:tc>
      </w:tr>
      <w:tr>
        <w:trPr>
          <w:trHeight w:val="157"/>
        </w:trPr>
        <w:tc>
          <w:tcPr>
            <w:tcW w:w="328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stock from exercise of stock</w:t>
            </w: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80" w:type="dxa"/>
            <w:vAlign w:val="bottom"/>
          </w:tcPr>
          <w:p>
            <w:pPr>
              <w:ind w:left="180"/>
              <w:spacing w:after="0"/>
              <w:rPr>
                <w:sz w:val="20"/>
                <w:szCs w:val="20"/>
                <w:color w:val="auto"/>
              </w:rPr>
            </w:pPr>
            <w:r>
              <w:rPr>
                <w:rFonts w:ascii="Arial" w:cs="Arial" w:eastAsia="Arial" w:hAnsi="Arial"/>
                <w:sz w:val="14"/>
                <w:szCs w:val="14"/>
                <w:color w:val="auto"/>
              </w:rPr>
              <w:t>options and restricted stock units</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1,484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9,720</w:t>
            </w:r>
          </w:p>
        </w:tc>
        <w:tc>
          <w:tcPr>
            <w:tcW w:w="0" w:type="dxa"/>
            <w:vAlign w:val="bottom"/>
          </w:tcPr>
          <w:p>
            <w:pPr>
              <w:spacing w:after="0"/>
              <w:rPr>
                <w:sz w:val="1"/>
                <w:szCs w:val="1"/>
                <w:color w:val="auto"/>
              </w:rPr>
            </w:pPr>
          </w:p>
        </w:tc>
      </w:tr>
      <w:tr>
        <w:trPr>
          <w:trHeight w:val="196"/>
        </w:trPr>
        <w:tc>
          <w:tcPr>
            <w:tcW w:w="3280" w:type="dxa"/>
            <w:vAlign w:val="bottom"/>
          </w:tcPr>
          <w:p>
            <w:pPr>
              <w:ind w:left="20"/>
              <w:spacing w:after="0"/>
              <w:rPr>
                <w:sz w:val="20"/>
                <w:szCs w:val="20"/>
                <w:color w:val="auto"/>
              </w:rPr>
            </w:pPr>
            <w:r>
              <w:rPr>
                <w:rFonts w:ascii="Arial" w:cs="Arial" w:eastAsia="Arial" w:hAnsi="Arial"/>
                <w:sz w:val="14"/>
                <w:szCs w:val="14"/>
                <w:color w:val="auto"/>
              </w:rPr>
              <w:t>Shares withheld related to net share settlement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(19,793)</w:t>
            </w: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w:t>
            </w: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March 31, 2023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102,836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561,577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(427,420)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131,087</w:t>
            </w: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from exercise of stock</w:t>
            </w: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80" w:type="dxa"/>
            <w:vAlign w:val="bottom"/>
          </w:tcPr>
          <w:p>
            <w:pPr>
              <w:ind w:left="180"/>
              <w:spacing w:after="0" w:line="143" w:lineRule="exact"/>
              <w:rPr>
                <w:sz w:val="20"/>
                <w:szCs w:val="20"/>
                <w:color w:val="auto"/>
              </w:rPr>
            </w:pPr>
            <w:r>
              <w:rPr>
                <w:rFonts w:ascii="Arial" w:cs="Arial" w:eastAsia="Arial" w:hAnsi="Arial"/>
                <w:sz w:val="14"/>
                <w:szCs w:val="14"/>
                <w:color w:val="auto"/>
              </w:rPr>
              <w:t>options, restricted stock units, and employee</w:t>
            </w: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80" w:type="dxa"/>
            <w:vAlign w:val="bottom"/>
          </w:tcPr>
          <w:p>
            <w:pPr>
              <w:ind w:left="180"/>
              <w:spacing w:after="0"/>
              <w:rPr>
                <w:sz w:val="20"/>
                <w:szCs w:val="20"/>
                <w:color w:val="auto"/>
              </w:rPr>
            </w:pPr>
            <w:r>
              <w:rPr>
                <w:rFonts w:ascii="Arial" w:cs="Arial" w:eastAsia="Arial" w:hAnsi="Arial"/>
                <w:sz w:val="14"/>
                <w:szCs w:val="14"/>
                <w:color w:val="auto"/>
              </w:rPr>
              <w:t>stock purchase plan</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2,663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7,958</w:t>
            </w:r>
          </w:p>
        </w:tc>
        <w:tc>
          <w:tcPr>
            <w:tcW w:w="0" w:type="dxa"/>
            <w:vAlign w:val="bottom"/>
          </w:tcPr>
          <w:p>
            <w:pPr>
              <w:spacing w:after="0"/>
              <w:rPr>
                <w:sz w:val="1"/>
                <w:szCs w:val="1"/>
                <w:color w:val="auto"/>
              </w:rPr>
            </w:pPr>
          </w:p>
        </w:tc>
      </w:tr>
      <w:tr>
        <w:trPr>
          <w:trHeight w:val="197"/>
        </w:trPr>
        <w:tc>
          <w:tcPr>
            <w:tcW w:w="3280" w:type="dxa"/>
            <w:vAlign w:val="bottom"/>
          </w:tcPr>
          <w:p>
            <w:pPr>
              <w:ind w:left="20"/>
              <w:spacing w:after="0"/>
              <w:rPr>
                <w:sz w:val="20"/>
                <w:szCs w:val="20"/>
                <w:color w:val="auto"/>
              </w:rPr>
            </w:pPr>
            <w:r>
              <w:rPr>
                <w:rFonts w:ascii="Arial" w:cs="Arial" w:eastAsia="Arial" w:hAnsi="Arial"/>
                <w:sz w:val="14"/>
                <w:szCs w:val="14"/>
                <w:color w:val="auto"/>
              </w:rPr>
              <w:t>Shares withheld related to net share settlement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(164)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(18,760)</w:t>
            </w: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June 30, 2023</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105,335</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569,780</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(446,180)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120,598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 Capital</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6"/>
          </w:tcPr>
          <w:p>
            <w:pPr>
              <w:jc w:val="right"/>
              <w:ind w:right="748"/>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98,435</w:t>
            </w:r>
          </w:p>
        </w:tc>
        <w:tc>
          <w:tcPr>
            <w:tcW w:w="1040" w:type="dxa"/>
            <w:vAlign w:val="bottom"/>
            <w:gridSpan w:val="3"/>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522,161</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(315,343)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205,734</w:t>
            </w: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from exercise of stock</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color w:val="auto"/>
              </w:rPr>
              <w:t>507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754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186"/>
        </w:trPr>
        <w:tc>
          <w:tcPr>
            <w:tcW w:w="3280" w:type="dxa"/>
            <w:vAlign w:val="bottom"/>
          </w:tcPr>
          <w:p>
            <w:pPr>
              <w:ind w:left="180"/>
              <w:spacing w:after="0"/>
              <w:rPr>
                <w:sz w:val="20"/>
                <w:szCs w:val="20"/>
                <w:color w:val="auto"/>
              </w:rPr>
            </w:pPr>
            <w:r>
              <w:rPr>
                <w:rFonts w:ascii="Arial" w:cs="Arial" w:eastAsia="Arial" w:hAnsi="Arial"/>
                <w:sz w:val="14"/>
                <w:szCs w:val="14"/>
                <w:color w:val="auto"/>
              </w:rPr>
              <w:t>options and restricted stock units</w:t>
            </w:r>
          </w:p>
        </w:tc>
        <w:tc>
          <w:tcPr>
            <w:tcW w:w="12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3,618</w:t>
            </w: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(20,708)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(20,708)</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2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0" w:type="dxa"/>
            <w:vAlign w:val="bottom"/>
          </w:tcPr>
          <w:p>
            <w:pPr>
              <w:spacing w:after="0"/>
              <w:rPr>
                <w:sz w:val="1"/>
                <w:szCs w:val="1"/>
                <w:color w:val="auto"/>
              </w:rPr>
            </w:pPr>
          </w:p>
        </w:tc>
      </w:tr>
      <w:tr>
        <w:trPr>
          <w:trHeight w:val="190"/>
        </w:trPr>
        <w:tc>
          <w:tcPr>
            <w:tcW w:w="3280" w:type="dxa"/>
            <w:vAlign w:val="bottom"/>
          </w:tcPr>
          <w:p>
            <w:pPr>
              <w:ind w:left="20"/>
              <w:spacing w:after="0"/>
              <w:rPr>
                <w:sz w:val="20"/>
                <w:szCs w:val="20"/>
                <w:color w:val="auto"/>
              </w:rPr>
            </w:pPr>
            <w:r>
              <w:rPr>
                <w:rFonts w:ascii="Arial" w:cs="Arial" w:eastAsia="Arial" w:hAnsi="Arial"/>
                <w:sz w:val="14"/>
                <w:szCs w:val="14"/>
                <w:color w:val="auto"/>
              </w:rPr>
              <w:t>Balance as of March 31, 2022</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98,942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526,533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(336,051)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187,688</w:t>
            </w:r>
          </w:p>
        </w:tc>
        <w:tc>
          <w:tcPr>
            <w:tcW w:w="0" w:type="dxa"/>
            <w:vAlign w:val="bottom"/>
          </w:tcPr>
          <w:p>
            <w:pPr>
              <w:spacing w:after="0"/>
              <w:rPr>
                <w:sz w:val="1"/>
                <w:szCs w:val="1"/>
                <w:color w:val="auto"/>
              </w:rPr>
            </w:pPr>
          </w:p>
        </w:tc>
      </w:tr>
      <w:tr>
        <w:trPr>
          <w:trHeight w:val="155"/>
        </w:trPr>
        <w:tc>
          <w:tcPr>
            <w:tcW w:w="32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Issuance of common stock from exercise of stock</w:t>
            </w:r>
          </w:p>
        </w:tc>
        <w:tc>
          <w:tcPr>
            <w:tcW w:w="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8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options, restricted stock units, and employee</w:t>
            </w:r>
          </w:p>
        </w:tc>
        <w:tc>
          <w:tcPr>
            <w:tcW w:w="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purchase plan</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10,353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10,353</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withheld related to net share settlement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6"/>
        </w:trPr>
        <w:tc>
          <w:tcPr>
            <w:tcW w:w="32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(28,399)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(28,399)</w:t>
            </w:r>
          </w:p>
        </w:tc>
        <w:tc>
          <w:tcPr>
            <w:tcW w:w="0" w:type="dxa"/>
            <w:vAlign w:val="bottom"/>
          </w:tcPr>
          <w:p>
            <w:pPr>
              <w:spacing w:after="0"/>
              <w:rPr>
                <w:sz w:val="1"/>
                <w:szCs w:val="1"/>
                <w:color w:val="auto"/>
              </w:rPr>
            </w:pPr>
          </w:p>
        </w:tc>
      </w:tr>
      <w:tr>
        <w:trPr>
          <w:trHeight w:val="195"/>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(2,587)</w:t>
            </w:r>
          </w:p>
        </w:tc>
        <w:tc>
          <w:tcPr>
            <w:tcW w:w="0" w:type="dxa"/>
            <w:vAlign w:val="bottom"/>
          </w:tcPr>
          <w:p>
            <w:pPr>
              <w:spacing w:after="0"/>
              <w:rPr>
                <w:sz w:val="1"/>
                <w:szCs w:val="1"/>
                <w:color w:val="auto"/>
              </w:rPr>
            </w:pPr>
          </w:p>
        </w:tc>
      </w:tr>
      <w:tr>
        <w:trPr>
          <w:trHeight w:val="196"/>
        </w:trPr>
        <w:tc>
          <w:tcPr>
            <w:tcW w:w="3280" w:type="dxa"/>
            <w:vAlign w:val="bottom"/>
          </w:tcPr>
          <w:p>
            <w:pPr>
              <w:ind w:left="20"/>
              <w:spacing w:after="0"/>
              <w:rPr>
                <w:sz w:val="20"/>
                <w:szCs w:val="20"/>
                <w:color w:val="auto"/>
              </w:rPr>
            </w:pPr>
            <w:r>
              <w:rPr>
                <w:rFonts w:ascii="Arial" w:cs="Arial" w:eastAsia="Arial" w:hAnsi="Arial"/>
                <w:sz w:val="14"/>
                <w:szCs w:val="14"/>
                <w:color w:val="auto"/>
              </w:rPr>
              <w:t>Balance as of June 30, 2022</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99,953</w:t>
            </w:r>
          </w:p>
        </w:tc>
        <w:tc>
          <w:tcPr>
            <w:tcW w:w="1040" w:type="dxa"/>
            <w:vAlign w:val="bottom"/>
            <w:gridSpan w:val="3"/>
          </w:tcPr>
          <w:p>
            <w:pPr>
              <w:jc w:val="right"/>
              <w:ind w:right="768"/>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10</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537,760</w:t>
            </w:r>
          </w:p>
        </w:tc>
        <w:tc>
          <w:tcPr>
            <w:tcW w:w="2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(5,391)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(364,450)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167,929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Six Months Ended</w:t>
            </w:r>
          </w:p>
        </w:tc>
      </w:tr>
      <w:tr>
        <w:trPr>
          <w:trHeight w:val="143"/>
        </w:trPr>
        <w:tc>
          <w:tcPr>
            <w:tcW w:w="7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right"/>
              <w:ind w:right="472"/>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jc w:val="right"/>
              <w:ind w:right="471"/>
              <w:spacing w:after="0" w:line="143" w:lineRule="exact"/>
              <w:rPr>
                <w:sz w:val="20"/>
                <w:szCs w:val="20"/>
                <w:color w:val="auto"/>
              </w:rPr>
            </w:pPr>
            <w:r>
              <w:rPr>
                <w:rFonts w:ascii="Arial" w:cs="Arial" w:eastAsia="Arial" w:hAnsi="Arial"/>
                <w:sz w:val="14"/>
                <w:szCs w:val="14"/>
                <w:b w:val="1"/>
                <w:bCs w:val="1"/>
                <w:color w:val="auto"/>
              </w:rPr>
              <w:t>June 30,</w:t>
            </w:r>
          </w:p>
        </w:tc>
      </w:tr>
      <w:tr>
        <w:trPr>
          <w:trHeight w:val="189"/>
        </w:trPr>
        <w:tc>
          <w:tcPr>
            <w:tcW w:w="7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r>
      <w:tr>
        <w:trPr>
          <w:trHeight w:val="190"/>
        </w:trPr>
        <w:tc>
          <w:tcPr>
            <w:tcW w:w="7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6"/>
                <w:szCs w:val="16"/>
                <w:color w:val="auto"/>
              </w:rPr>
            </w:pP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(38,553)</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(49,107)</w:t>
            </w:r>
          </w:p>
        </w:tc>
      </w:tr>
      <w:tr>
        <w:trPr>
          <w:trHeight w:val="243"/>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8,517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6,678</w:t>
            </w: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13,581</w:t>
            </w:r>
          </w:p>
        </w:tc>
      </w:tr>
      <w:tr>
        <w:trPr>
          <w:trHeight w:val="236"/>
        </w:trPr>
        <w:tc>
          <w:tcPr>
            <w:tcW w:w="7800" w:type="dxa"/>
            <w:vAlign w:val="bottom"/>
          </w:tcPr>
          <w:p>
            <w:pPr>
              <w:ind w:left="360"/>
              <w:spacing w:after="0"/>
              <w:rPr>
                <w:sz w:val="20"/>
                <w:szCs w:val="20"/>
                <w:color w:val="auto"/>
              </w:rPr>
            </w:pPr>
            <w:r>
              <w:rPr>
                <w:rFonts w:ascii="Arial" w:cs="Arial" w:eastAsia="Arial" w:hAnsi="Arial"/>
                <w:sz w:val="18"/>
                <w:szCs w:val="18"/>
                <w:color w:val="auto"/>
              </w:rPr>
              <w:t>Reduction in carrying amount of right-of-use assets</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3,177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2,905</w:t>
            </w:r>
          </w:p>
        </w:tc>
      </w:tr>
      <w:tr>
        <w:trPr>
          <w:trHeight w:val="23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3"/>
        </w:trPr>
        <w:tc>
          <w:tcPr>
            <w:tcW w:w="7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29"/>
        </w:trPr>
        <w:tc>
          <w:tcPr>
            <w:tcW w:w="7800" w:type="dxa"/>
            <w:vAlign w:val="bottom"/>
          </w:tcPr>
          <w:p>
            <w:pPr>
              <w:ind w:left="52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(2,670)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(4,703)</w:t>
            </w:r>
          </w:p>
        </w:tc>
      </w:tr>
      <w:tr>
        <w:trPr>
          <w:trHeight w:val="229"/>
        </w:trPr>
        <w:tc>
          <w:tcPr>
            <w:tcW w:w="7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and non-current assets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w:t>
            </w:r>
          </w:p>
        </w:tc>
      </w:tr>
      <w:tr>
        <w:trPr>
          <w:trHeight w:val="236"/>
        </w:trPr>
        <w:tc>
          <w:tcPr>
            <w:tcW w:w="780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1,954</w:t>
            </w:r>
          </w:p>
        </w:tc>
      </w:tr>
      <w:tr>
        <w:trPr>
          <w:trHeight w:val="236"/>
        </w:trPr>
        <w:tc>
          <w:tcPr>
            <w:tcW w:w="7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30"/>
        </w:trPr>
        <w:tc>
          <w:tcPr>
            <w:tcW w:w="7800" w:type="dxa"/>
            <w:vAlign w:val="bottom"/>
          </w:tcPr>
          <w:p>
            <w:pPr>
              <w:ind w:left="520"/>
              <w:spacing w:after="0"/>
              <w:rPr>
                <w:sz w:val="20"/>
                <w:szCs w:val="20"/>
                <w:color w:val="auto"/>
              </w:rPr>
            </w:pPr>
            <w:r>
              <w:rPr>
                <w:rFonts w:ascii="Arial" w:cs="Arial" w:eastAsia="Arial" w:hAnsi="Arial"/>
                <w:sz w:val="18"/>
                <w:szCs w:val="18"/>
                <w:color w:val="auto"/>
              </w:rPr>
              <w:t>Seller payable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3,465</w:t>
            </w:r>
          </w:p>
        </w:tc>
      </w:tr>
      <w:tr>
        <w:trPr>
          <w:trHeight w:val="243"/>
        </w:trPr>
        <w:tc>
          <w:tcPr>
            <w:tcW w:w="7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r>
      <w:tr>
        <w:trPr>
          <w:trHeight w:val="230"/>
        </w:trPr>
        <w:tc>
          <w:tcPr>
            <w:tcW w:w="78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(14,839)</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(24,835)</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r>
      <w:tr>
        <w:trPr>
          <w:trHeight w:val="236"/>
        </w:trPr>
        <w:tc>
          <w:tcPr>
            <w:tcW w:w="7800" w:type="dxa"/>
            <w:vAlign w:val="bottom"/>
          </w:tcPr>
          <w:p>
            <w:pPr>
              <w:ind w:left="180"/>
              <w:spacing w:after="0"/>
              <w:rPr>
                <w:sz w:val="20"/>
                <w:szCs w:val="20"/>
                <w:color w:val="auto"/>
              </w:rPr>
            </w:pPr>
            <w:r>
              <w:rPr>
                <w:rFonts w:ascii="Arial" w:cs="Arial" w:eastAsia="Arial" w:hAnsi="Arial"/>
                <w:sz w:val="18"/>
                <w:szCs w:val="18"/>
                <w:color w:val="auto"/>
              </w:rPr>
              <w:t>Maturities of marketable securities</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49,479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26,294</w:t>
            </w:r>
          </w:p>
        </w:tc>
      </w:tr>
      <w:tr>
        <w:trPr>
          <w:trHeight w:val="236"/>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(12,292)</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(27,583)</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29,309</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6"/>
        </w:trPr>
        <w:tc>
          <w:tcPr>
            <w:tcW w:w="7800" w:type="dxa"/>
            <w:vAlign w:val="bottom"/>
          </w:tcPr>
          <w:p>
            <w:pPr>
              <w:ind w:left="180"/>
              <w:spacing w:after="0"/>
              <w:rPr>
                <w:sz w:val="20"/>
                <w:szCs w:val="20"/>
                <w:color w:val="auto"/>
              </w:rPr>
            </w:pPr>
            <w:r>
              <w:rPr>
                <w:rFonts w:ascii="Arial" w:cs="Arial" w:eastAsia="Arial" w:hAnsi="Arial"/>
                <w:sz w:val="18"/>
                <w:szCs w:val="18"/>
                <w:color w:val="auto"/>
              </w:rPr>
              <w:t>Repayment of debt</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36"/>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stock-based awards</w:t>
            </w: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Payment of withholding taxes on stock-based awards</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r>
      <w:tr>
        <w:trPr>
          <w:trHeight w:val="22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r>
      <w:tr>
        <w:trPr>
          <w:trHeight w:val="23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(32,452)</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44,051</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91,840</w:t>
            </w:r>
          </w:p>
        </w:tc>
      </w:tr>
      <w:tr>
        <w:trPr>
          <w:trHeight w:val="25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57,096</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ThredUp Inc. (“thredUP” or the “Company”) was formed as a corporation in the State of Delaware in January 2009. thredUP operates a large resale platform that enables consumers to buy and sell primarily secondhand apparel, shoes, and accessories.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Basis of Presentation and Use of Estimates</w:t>
      </w:r>
    </w:p>
    <w:p>
      <w:pPr>
        <w:spacing w:after="0" w:line="123"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wholly-owned subsidiaries. All intercompany account balances and transactions have been eliminated upon consolidation. The unaudited condensed consolidated financial statements were prepared in accordance with the United States (“U.S.”) Generally Accepted Accounting Principles (“GAAP”) for interim financial information and with the instructions to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and Article 10 of Regulation S-X. As permitted under those rules, certain footnotes or other financial information may be condensed or omitted.</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and intangibles; allowance for sales returns; breakage on loyalty points and rewards, and gift cards; valuation of inventory stock-based compensation, right-of-use assets, goodwill and acquired intangible assets, and income taxes.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and recurring adjustments necessary to present fairly the financial position of the Company as of June 30, 2023, and the results of operations and cash flows for the interim periods presented.</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unaudited condensed consolidated financial statements and related financial information should be read in conjunction with the Company’s audited consolidated financial statements and related notes included in the Company’s Annual Report on Form 10-K for the year ended December 31, 2022 (the “2022 10-K”).</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Reclassifications</w:t>
      </w:r>
    </w:p>
    <w:p>
      <w:pPr>
        <w:spacing w:after="0" w:line="123" w:lineRule="exact"/>
        <w:rPr>
          <w:sz w:val="20"/>
          <w:szCs w:val="20"/>
          <w:color w:val="auto"/>
        </w:rPr>
      </w:pPr>
    </w:p>
    <w:p>
      <w:pPr>
        <w:ind w:right="120" w:firstLine="324"/>
        <w:spacing w:after="0" w:line="275" w:lineRule="auto"/>
        <w:rPr>
          <w:sz w:val="20"/>
          <w:szCs w:val="20"/>
          <w:color w:val="auto"/>
        </w:rPr>
      </w:pPr>
      <w:r>
        <w:rPr>
          <w:rFonts w:ascii="Arial" w:cs="Arial" w:eastAsia="Arial" w:hAnsi="Arial"/>
          <w:sz w:val="18"/>
          <w:szCs w:val="18"/>
          <w:color w:val="auto"/>
        </w:rPr>
        <w:t>Certain reclassifications were made to the prior period condensed consolidated statement of cash flows to conform to the current period presentation.</w:t>
      </w:r>
    </w:p>
    <w:p>
      <w:pPr>
        <w:spacing w:after="0" w:line="2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No.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Credit Losses (Topic 326): Measurement of Credit Losses on Financial Instruments</w:t>
      </w:r>
      <w:r>
        <w:rPr>
          <w:rFonts w:ascii="Arial" w:cs="Arial" w:eastAsia="Arial" w:hAnsi="Arial"/>
          <w:sz w:val="18"/>
          <w:szCs w:val="18"/>
          <w:color w:val="auto"/>
        </w:rPr>
        <w:t>. This ASU changes the impairment model</w:t>
      </w:r>
      <w:r>
        <w:rPr>
          <w:rFonts w:ascii="Arial" w:cs="Arial" w:eastAsia="Arial" w:hAnsi="Arial"/>
          <w:sz w:val="18"/>
          <w:szCs w:val="18"/>
          <w:i w:val="1"/>
          <w:iCs w:val="1"/>
          <w:color w:val="auto"/>
        </w:rPr>
        <w:t xml:space="preserve"> </w:t>
      </w:r>
      <w:r>
        <w:rPr>
          <w:rFonts w:ascii="Arial" w:cs="Arial" w:eastAsia="Arial" w:hAnsi="Arial"/>
          <w:sz w:val="18"/>
          <w:szCs w:val="18"/>
          <w:color w:val="auto"/>
        </w:rPr>
        <w:t>for most financial assets, requiring the use of an expected loss model that requires entities to estimate the lifetime expected credit loss on financial assets measured at amortized cost. Such credit losses will be recorded as an allowance to offset the amortized cost of the financial asset, resulting in a net presentation of the amount expected to be collected on the financial asset. In addition, credit losses relating to available-for-sale debt securities will now be recorded through an allowance for credit losses rather than as a direct write-down to the security. This standard is effective for fiscal years beginning after December 15, 2022, including interim periods within those fiscal years. The adoption of this guidance during the first quarter of 2023 did not have a material impact on the Company’s condensed consolidated financial statements.</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from Loyalty Reward Redemption and Expiration</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has a customer loyalty program, which allows end-customers to earn and accumulate points with each qualifying purchase. Earned points can be redeemed for reward coupons, such as discounts, free shipping, or waived restocking fee, which can be applied to future purchases or returns. Unredeemed points expire after one year from the date the points were earned. Reward coupons expire six months from the date the reward is claimed. Points earned on purchases are a material right, representing a separate performance obligation.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allocated consideration for the points earned through qualifying purchase transactions is deferred based on the standalone selling price of the points and recorded within deferred revenue under accrued and other current liabilities within the Company’s condensed consolidated balance sheets. Revenue is recognized for these performance obligations at a point in time when rewards are redeemed by the end customer or expired.</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June 30, 2023 and December 31, 2022, the Company had a deferred revenue liability of $3.1 million and $3.3 million, respectively, related to its customer loyalty program, which is included in accrued and other current liabilities within the Company’s condensed consolidated balance sheets. The Company recognized revenue from loyalty reward redemption of $2.4 million and $2.5 million for the three months ended June 30, 2023 and 2022, respectively, and $4.6 million and $5.2 million for the six months ended June 30, 2023 and 2022, respectively. As our loyalty points expire in 12 months and coupon rewards expire in six months, the revenue for the remaining performance obligation is expected to be recognized within a 12-month period.</w:t>
      </w:r>
    </w:p>
    <w:p>
      <w:pPr>
        <w:spacing w:after="0" w:line="294"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Gift Cards and Site Credits</w:t>
      </w:r>
    </w:p>
    <w:p>
      <w:pPr>
        <w:spacing w:after="0" w:line="1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sells thredUP gift cards on its e-commerce website and may also convert site credits to thredUP gift cards after one year at the discretion of the Company. thredUP gift cards do not expire or lose value over periods of inactivity. The Company accounts for gift cards by recognizing a gift card liability at the time a gift card is delivered to the customer. As of June 30, 2023 and December 31, 2022, $10.6 million and $10.9 million, respectively, of gift card liability was included in accrued and other current liabilities within the Company’s condensed consolidated balance sheets. Revenue from gift cards is generally recognized when the gift cards are redeemed by the customer and amounted to $0.7 million and $0.2 million for the three months ended June 30, 2023 and 2022, respectively, and $1.2 million and $0.5 million for the six months ended June 30, 2023 and 2022, respectively.</w:t>
      </w:r>
    </w:p>
    <w:p>
      <w:pPr>
        <w:spacing w:after="0" w:line="1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issues site credits for returns, which can be applied toward future charges but may not be converted into cash. Site credits may also be converted to thredUP gift cards after one year at the discretion of the Company. These credits are recognized as revenue when used. As of June 30, 2023 and December 31, 2022, $5.7 million and $7.2 million, respectively, of such customer site credits were included in accrued and other current liabilities within the Company’s condensed consolidated balance sheets. Revenue recognized from the redemption of site credits was $10.7 million and $ 13.2 million for the three months ended June 30, 2023 and 2022, respectively, and $20.0 million and $24.0 million for the six months ended June 30, 2023 and 2022, respectively.</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The Company recognizes breakage revenue when it determines that the redemption of gift cards is remote. Breakage revenue was not material for the three and six months ended June 30, 2023 and 2022.</w:t>
      </w:r>
    </w:p>
    <w:p>
      <w:pPr>
        <w:spacing w:after="0" w:line="2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Company’s condensed consolidated balance sheets that sum to the total of the same such amounts shown in the Company’s condensed 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478"/>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60" w:type="dxa"/>
            <w:vAlign w:val="bottom"/>
            <w:gridSpan w:val="5"/>
          </w:tcPr>
          <w:p>
            <w:pPr>
              <w:ind w:left="960"/>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3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540" w:type="dxa"/>
            <w:vAlign w:val="bottom"/>
          </w:tcPr>
          <w:p>
            <w:pPr>
              <w:ind w:left="20"/>
              <w:spacing w:after="0" w:line="170" w:lineRule="exact"/>
              <w:rPr>
                <w:sz w:val="20"/>
                <w:szCs w:val="20"/>
                <w:color w:val="auto"/>
              </w:rPr>
            </w:pPr>
            <w:r>
              <w:rPr>
                <w:rFonts w:ascii="Arial" w:cs="Arial" w:eastAsia="Arial" w:hAnsi="Arial"/>
                <w:sz w:val="18"/>
                <w:szCs w:val="18"/>
                <w:color w:val="auto"/>
              </w:rPr>
              <w:t>Total cash, cash equivalents, and restricted cash shown in the</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57,096</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44,051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5540" w:type="dxa"/>
            <w:vAlign w:val="bottom"/>
          </w:tcPr>
          <w:p>
            <w:pPr>
              <w:ind w:left="180"/>
              <w:spacing w:after="0" w:line="202" w:lineRule="exact"/>
              <w:rPr>
                <w:sz w:val="20"/>
                <w:szCs w:val="20"/>
                <w:color w:val="auto"/>
              </w:rPr>
            </w:pPr>
            <w:r>
              <w:rPr>
                <w:rFonts w:ascii="Arial" w:cs="Arial" w:eastAsia="Arial" w:hAnsi="Arial"/>
                <w:sz w:val="18"/>
                <w:szCs w:val="18"/>
                <w:color w:val="auto"/>
              </w:rPr>
              <w:t>statement of cash flows</w:t>
            </w:r>
          </w:p>
        </w:tc>
        <w:tc>
          <w:tcPr>
            <w:tcW w:w="3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jc w:val="right"/>
              <w:ind w:right="850"/>
              <w:spacing w:after="0"/>
              <w:rPr>
                <w:sz w:val="20"/>
                <w:szCs w:val="20"/>
                <w:color w:val="auto"/>
              </w:rPr>
            </w:pPr>
            <w:r>
              <w:rPr>
                <w:rFonts w:ascii="Arial" w:cs="Arial" w:eastAsia="Arial" w:hAnsi="Arial"/>
                <w:sz w:val="18"/>
                <w:szCs w:val="18"/>
                <w:color w:val="auto"/>
              </w:rPr>
              <w:t>11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66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5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The Company applies the provisions of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and non-financial assets and liabilities. ASC 820 defines fair value as the price that would be received to sell an asset or paid to transfer a liability in an orderly transaction between market participants at the measurement date. ASC 820 establishes a fair value hierarchy, which prioritizes the inputs used in measuring fair value into three broad levels as follows:</w:t>
      </w:r>
    </w:p>
    <w:p>
      <w:pPr>
        <w:spacing w:after="0" w:line="78" w:lineRule="exact"/>
        <w:rPr>
          <w:sz w:val="20"/>
          <w:szCs w:val="20"/>
          <w:color w:val="auto"/>
        </w:rPr>
      </w:pPr>
    </w:p>
    <w:p>
      <w:pPr>
        <w:ind w:left="660" w:hanging="328"/>
        <w:spacing w:after="0" w:line="27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 that the reporting entity has the ability to access at the measurement date.</w:t>
      </w:r>
    </w:p>
    <w:p>
      <w:pPr>
        <w:spacing w:after="0" w:line="6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inputs include quoted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measures certain assets and liabilities at fair value as discussed throughout the notes to its condensed consolidated financial statements. As of June 30, 2023 and December 31, 2022, the carrying amounts of the Company’s accounts receivable, other current assets, other assets, accounts payable, seller payable and accrued and other current liabilities approximated their estimated fair values due to their relatively short maturities. Management believes the terms of its long-term variable-rate debt reflect current market conditions for an instrument with similar terms and maturity, and as such, the carrying value of the Company’s long-term debt approximated its fair value as of June 30, 2023 and December 31,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 and Fair Value Measurements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tables provide information about the Company’s financial instruments that are measured at fair value on a recurring basis and indicate the fair value hierarchy of the valuation techniques utilized to determine such values as of June 30, 2023 and December 31,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b w:val="1"/>
                <w:bCs w:val="1"/>
                <w:color w:val="auto"/>
              </w:rPr>
              <w:t>June 30, 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83"/>
        </w:trPr>
        <w:tc>
          <w:tcPr>
            <w:tcW w:w="4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Level 1</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Total</w:t>
            </w:r>
          </w:p>
        </w:tc>
      </w:tr>
      <w:tr>
        <w:trPr>
          <w:trHeight w:val="190"/>
        </w:trPr>
        <w:tc>
          <w:tcPr>
            <w:tcW w:w="4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3"/>
          </w:tcPr>
          <w:p>
            <w:pPr>
              <w:jc w:val="right"/>
              <w:ind w:right="748"/>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6"/>
        </w:trPr>
        <w:tc>
          <w:tcPr>
            <w:tcW w:w="43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4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w:t>
            </w: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2,581</w:t>
            </w:r>
          </w:p>
        </w:tc>
      </w:tr>
      <w:tr>
        <w:trPr>
          <w:trHeight w:val="243"/>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18,769</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18,769</w:t>
            </w:r>
          </w:p>
        </w:tc>
      </w:tr>
      <w:tr>
        <w:trPr>
          <w:trHeight w:val="229"/>
        </w:trPr>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U.S. government agency discount notes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4,481</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4,481</w:t>
            </w:r>
          </w:p>
        </w:tc>
      </w:tr>
      <w:tr>
        <w:trPr>
          <w:trHeight w:val="223"/>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25,831</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35,836</w:t>
            </w:r>
          </w:p>
        </w:tc>
      </w:tr>
      <w:tr>
        <w:trPr>
          <w:trHeight w:val="223"/>
        </w:trPr>
        <w:tc>
          <w:tcPr>
            <w:tcW w:w="43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securities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14,377</w:t>
            </w:r>
          </w:p>
        </w:tc>
      </w:tr>
      <w:tr>
        <w:trPr>
          <w:trHeight w:val="243"/>
        </w:trPr>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U.S. government agency bonds</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11,479</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11,479</w:t>
            </w:r>
          </w:p>
        </w:tc>
      </w:tr>
      <w:tr>
        <w:trPr>
          <w:trHeight w:val="223"/>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25,856</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25,856</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10,005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51,687</w:t>
            </w:r>
          </w:p>
        </w:tc>
        <w:tc>
          <w:tcPr>
            <w:tcW w:w="1340" w:type="dxa"/>
            <w:vAlign w:val="bottom"/>
            <w:gridSpan w:val="2"/>
          </w:tcPr>
          <w:p>
            <w:pPr>
              <w:jc w:val="right"/>
              <w:ind w:right="1048"/>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61,692</w:t>
            </w:r>
          </w:p>
        </w:tc>
      </w:tr>
      <w:tr>
        <w:trPr>
          <w:trHeight w:val="20"/>
        </w:trPr>
        <w:tc>
          <w:tcPr>
            <w:tcW w:w="4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736"/>
        </w:trPr>
        <w:tc>
          <w:tcPr>
            <w:tcW w:w="4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December 31, 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83"/>
        </w:trPr>
        <w:tc>
          <w:tcPr>
            <w:tcW w:w="4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Level 1</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Total</w:t>
            </w:r>
          </w:p>
        </w:tc>
      </w:tr>
      <w:tr>
        <w:trPr>
          <w:trHeight w:val="190"/>
        </w:trPr>
        <w:tc>
          <w:tcPr>
            <w:tcW w:w="4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3"/>
          </w:tcPr>
          <w:p>
            <w:pPr>
              <w:jc w:val="right"/>
              <w:ind w:right="748"/>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6"/>
        </w:trPr>
        <w:tc>
          <w:tcPr>
            <w:tcW w:w="43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4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14,460</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14,460</w:t>
            </w:r>
          </w:p>
        </w:tc>
      </w:tr>
      <w:tr>
        <w:trPr>
          <w:trHeight w:val="237"/>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equivalents</w:t>
            </w: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100" w:type="dxa"/>
            <w:vAlign w:val="bottom"/>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15,570</w:t>
            </w:r>
          </w:p>
        </w:tc>
      </w:tr>
      <w:tr>
        <w:trPr>
          <w:trHeight w:val="210"/>
        </w:trPr>
        <w:tc>
          <w:tcPr>
            <w:tcW w:w="43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3"/>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25,488</w:t>
            </w: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19,176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19,176</w:t>
            </w:r>
          </w:p>
        </w:tc>
      </w:tr>
      <w:tr>
        <w:trPr>
          <w:trHeight w:val="229"/>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government agency bonds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22,238</w:t>
            </w:r>
          </w:p>
        </w:tc>
      </w:tr>
      <w:tr>
        <w:trPr>
          <w:trHeight w:val="237"/>
        </w:trPr>
        <w:tc>
          <w:tcPr>
            <w:tcW w:w="4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marketable securities</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66,902</w:t>
            </w: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1340" w:type="dxa"/>
            <w:vAlign w:val="bottom"/>
            <w:gridSpan w:val="2"/>
            <w:shd w:val="clear" w:color="auto" w:fill="CCEEFF"/>
          </w:tcPr>
          <w:p>
            <w:pPr>
              <w:jc w:val="right"/>
              <w:ind w:right="104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summarize the cost, gross unrealized gains, gross unrealized losses and fair value of the marketable securities as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December 31, 2022: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38"/>
              <w:spacing w:after="0"/>
              <w:rPr>
                <w:sz w:val="20"/>
                <w:szCs w:val="20"/>
                <w:color w:val="auto"/>
              </w:rPr>
            </w:pPr>
            <w:r>
              <w:rPr>
                <w:rFonts w:ascii="Arial" w:cs="Arial" w:eastAsia="Arial" w:hAnsi="Arial"/>
                <w:sz w:val="14"/>
                <w:szCs w:val="14"/>
                <w:b w:val="1"/>
                <w:bCs w:val="1"/>
                <w:color w:val="auto"/>
              </w:rPr>
              <w:t>June 30, 2023</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6"/>
        </w:trPr>
        <w:tc>
          <w:tcPr>
            <w:tcW w:w="4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center"/>
              <w:ind w:left="38"/>
              <w:spacing w:after="0"/>
              <w:rPr>
                <w:sz w:val="20"/>
                <w:szCs w:val="20"/>
                <w:color w:val="auto"/>
              </w:rPr>
            </w:pPr>
            <w:r>
              <w:rPr>
                <w:rFonts w:ascii="Arial" w:cs="Arial" w:eastAsia="Arial" w:hAnsi="Arial"/>
                <w:sz w:val="14"/>
                <w:szCs w:val="14"/>
                <w:b w:val="1"/>
                <w:bCs w:val="1"/>
                <w:color w:val="auto"/>
              </w:rPr>
              <w:t>Unrealized</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4320" w:type="dxa"/>
            <w:vAlign w:val="bottom"/>
          </w:tcPr>
          <w:p>
            <w:pPr>
              <w:spacing w:after="0"/>
              <w:rPr>
                <w:sz w:val="17"/>
                <w:szCs w:val="17"/>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Cost or Amortized Cost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Gains</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4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gridSpan w:val="3"/>
          </w:tcPr>
          <w:p>
            <w:pPr>
              <w:jc w:val="center"/>
              <w:ind w:left="38"/>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14,376</w:t>
            </w:r>
          </w:p>
        </w:tc>
      </w:tr>
      <w:tr>
        <w:trPr>
          <w:trHeight w:val="24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government agency bonds</w:t>
            </w:r>
          </w:p>
        </w:tc>
        <w:tc>
          <w:tcPr>
            <w:tcW w:w="5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11,712</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11,480</w:t>
            </w:r>
          </w:p>
        </w:tc>
      </w:tr>
      <w:tr>
        <w:trPr>
          <w:trHeight w:val="243"/>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25,856</w:t>
            </w:r>
          </w:p>
        </w:tc>
      </w:tr>
      <w:tr>
        <w:trPr>
          <w:trHeight w:val="20"/>
        </w:trPr>
        <w:tc>
          <w:tcPr>
            <w:tcW w:w="4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00"/>
        </w:trPr>
        <w:tc>
          <w:tcPr>
            <w:tcW w:w="43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center"/>
              <w:ind w:right="954"/>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96"/>
        </w:trPr>
        <w:tc>
          <w:tcPr>
            <w:tcW w:w="4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center"/>
              <w:ind w:left="38"/>
              <w:spacing w:after="0"/>
              <w:rPr>
                <w:sz w:val="20"/>
                <w:szCs w:val="20"/>
                <w:color w:val="auto"/>
              </w:rPr>
            </w:pPr>
            <w:r>
              <w:rPr>
                <w:rFonts w:ascii="Arial" w:cs="Arial" w:eastAsia="Arial" w:hAnsi="Arial"/>
                <w:sz w:val="14"/>
                <w:szCs w:val="14"/>
                <w:b w:val="1"/>
                <w:bCs w:val="1"/>
                <w:color w:val="auto"/>
              </w:rPr>
              <w:t>Unrealized</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4320" w:type="dxa"/>
            <w:vAlign w:val="bottom"/>
          </w:tcPr>
          <w:p>
            <w:pPr>
              <w:spacing w:after="0"/>
              <w:rPr>
                <w:sz w:val="17"/>
                <w:szCs w:val="17"/>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Cost or Amortized Cost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Gains</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4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gridSpan w:val="3"/>
          </w:tcPr>
          <w:p>
            <w:pPr>
              <w:jc w:val="center"/>
              <w:ind w:left="38"/>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25,488</w:t>
            </w:r>
          </w:p>
        </w:tc>
      </w:tr>
      <w:tr>
        <w:trPr>
          <w:trHeight w:val="236"/>
        </w:trPr>
        <w:tc>
          <w:tcPr>
            <w:tcW w:w="432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19,176</w:t>
            </w:r>
          </w:p>
        </w:tc>
      </w:tr>
      <w:tr>
        <w:trPr>
          <w:trHeight w:val="23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agency bonds</w:t>
            </w:r>
          </w:p>
        </w:tc>
        <w:tc>
          <w:tcPr>
            <w:tcW w:w="5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22,679</w:t>
            </w: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22,238</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67,984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ind w:right="837"/>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(1,082)</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66,902</w:t>
            </w:r>
          </w:p>
        </w:tc>
      </w:tr>
      <w:tr>
        <w:trPr>
          <w:trHeight w:val="20"/>
        </w:trPr>
        <w:tc>
          <w:tcPr>
            <w:tcW w:w="4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As of June 30, 2023 and December 31, 2022, the Company’s cash equivalents approximated their estimated fair value. As such, there are no unrealized gains or losses related to the Company’s cash equivalents.</w:t>
      </w:r>
    </w:p>
    <w:p>
      <w:pPr>
        <w:spacing w:after="0" w:line="1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Company’s marketable securities, which were all classified as available -for-sale, the Company utilizes third-party pricing services to obtain fair value. Third-party pricing methodologies incorporate bond terms and conditions, current performance data, proprietary pricing models, real-time quotes from contributing dealers, trade prices and other market data. The Company determined that the declines in the fair value of its marketable securities were not driven by credit-related factors. During the three and six months ended June 30, 2023 and 2022, the Company did not recognize any losses on its marketable securities due to credit-related factors.</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As of June 30, 2023, the Company’s money market funds were valued using Level 1 inputs because they were valued using quoted prices in active markets.</w:t>
      </w:r>
    </w:p>
    <w:p>
      <w:pPr>
        <w:spacing w:after="0" w:line="1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U.S. treasury securities, commercial paper, U.S. government agency discount notes, and U.S. government agency bonds were valued using Level 2 inputs because they were valued using quoted prices for similar assets or liabilities in active markets and quoted prices for identical or similar assets or liabilities in markets that are not active.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As of June 30, 2023, there were no transfers into or out of Level 3 during the three and six months ended June 30, 2023. As of June 30, 2023, of the $25.9 million carrying amount of marketable securities, all had a contractual maturity date of less than one year.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253"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479"/>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297"/>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r>
      <w:tr>
        <w:trPr>
          <w:trHeight w:val="190"/>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40" w:type="dxa"/>
            <w:vAlign w:val="bottom"/>
            <w:gridSpan w:val="4"/>
          </w:tcPr>
          <w:p>
            <w:pPr>
              <w:jc w:val="right"/>
              <w:ind w:right="1197"/>
              <w:spacing w:after="0"/>
              <w:rPr>
                <w:sz w:val="20"/>
                <w:szCs w:val="20"/>
                <w:color w:val="auto"/>
              </w:rPr>
            </w:pPr>
            <w:r>
              <w:rPr>
                <w:rFonts w:ascii="Arial" w:cs="Arial" w:eastAsia="Arial" w:hAnsi="Arial"/>
                <w:sz w:val="14"/>
                <w:szCs w:val="14"/>
                <w:i w:val="1"/>
                <w:iCs w:val="1"/>
                <w:color w:val="auto"/>
              </w:rPr>
              <w:t>(in thousands)</w:t>
            </w:r>
          </w:p>
        </w:tc>
      </w:tr>
      <w:tr>
        <w:trPr>
          <w:trHeight w:val="235"/>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132,892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124,412</w:t>
            </w:r>
          </w:p>
        </w:tc>
      </w:tr>
      <w:tr>
        <w:trPr>
          <w:trHeight w:val="243"/>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(31,930)</w:t>
            </w:r>
          </w:p>
        </w:tc>
      </w:tr>
      <w:tr>
        <w:trPr>
          <w:trHeight w:val="24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92,482</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Depreciation and amortization expense of property and equipment was $4.2 million and $2.8 million for the three months ended June 30, 2023 and 2022, respectively, and $7.2 million and $5.4 million for the six months ended June 30, 2023 and 2022,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Goodwill is primarily attributable to the planned growth in the combined business after the acquisition of Remix Global EAD (“Remix”). Goodwill is reviewed for impairment at least annually, absent any interim indicators of impairment. Goodwill was $11.8 million and $11.6 million as of June 30, 2023 and December 31, 2022, respectively. The increase in goodwill during the six months ended June 30, 2023 was due to foreign currency translation adjustments.</w:t>
      </w:r>
    </w:p>
    <w:p>
      <w:pPr>
        <w:spacing w:after="0" w:line="190"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The gross carrying amounts and accumulated amortization of the Company’s intangible assets with determinable lives as of June 30, 2023 and December 31, 2022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June 30, 2023</w:t>
            </w: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Amortization Period</w:t>
            </w:r>
          </w:p>
        </w:tc>
        <w:tc>
          <w:tcPr>
            <w:tcW w:w="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36"/>
              <w:spacing w:after="0" w:line="143"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6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201"/>
        </w:trPr>
        <w:tc>
          <w:tcPr>
            <w:tcW w:w="4320" w:type="dxa"/>
            <w:vAlign w:val="bottom"/>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(in years)</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36"/>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13,900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(4,554)</w:t>
            </w:r>
          </w:p>
        </w:tc>
        <w:tc>
          <w:tcPr>
            <w:tcW w:w="20" w:type="dxa"/>
            <w:vAlign w:val="bottom"/>
          </w:tcPr>
          <w:p>
            <w:pPr>
              <w:spacing w:after="0"/>
              <w:rPr>
                <w:sz w:val="20"/>
                <w:szCs w:val="20"/>
                <w:color w:val="auto"/>
              </w:rPr>
            </w:pPr>
          </w:p>
        </w:tc>
        <w:tc>
          <w:tcPr>
            <w:tcW w:w="66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9,346</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9"/>
        </w:trPr>
        <w:tc>
          <w:tcPr>
            <w:tcW w:w="4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December 31, 2022</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Amortization Period</w:t>
            </w:r>
          </w:p>
        </w:tc>
        <w:tc>
          <w:tcPr>
            <w:tcW w:w="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36"/>
              <w:spacing w:after="0" w:line="143"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6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(in years)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13,701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(3,202)</w:t>
            </w:r>
          </w:p>
        </w:tc>
        <w:tc>
          <w:tcPr>
            <w:tcW w:w="20" w:type="dxa"/>
            <w:vAlign w:val="bottom"/>
          </w:tcPr>
          <w:p>
            <w:pPr>
              <w:spacing w:after="0"/>
              <w:rPr>
                <w:sz w:val="19"/>
                <w:szCs w:val="19"/>
                <w:color w:val="auto"/>
              </w:rPr>
            </w:pPr>
          </w:p>
        </w:tc>
        <w:tc>
          <w:tcPr>
            <w:tcW w:w="66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10,499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gross carrying amounts were due to foreign currency translation adjustments.</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Amortization expense related to developed technology, customer relationships, and trademarks is recorded within operations, product, and technology; sales, general, and administrative; and marketing expense, respectively, within the Company’s condensed consolidated statements of operations. Amortization expense of intangible assets with determinable lives was $0.7 million and $0.6 million for the three months ended June 30, 2023 and 2022, respectively, and $1.3 million and $1.3 million for the six months ended June 30, 2023 and 2022,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40" w:right="7920" w:hanging="332"/>
        <w:spacing w:after="0" w:line="451" w:lineRule="auto"/>
        <w:tabs>
          <w:tab w:leader="none" w:pos="216"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color w:val="auto"/>
        </w:rPr>
        <w:t>Inventories consisted of the following:</w:t>
      </w:r>
    </w:p>
    <w:p>
      <w:pPr>
        <w:spacing w:after="0" w:line="59"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479"/>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297"/>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r>
      <w:tr>
        <w:trPr>
          <w:trHeight w:val="190"/>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40" w:type="dxa"/>
            <w:vAlign w:val="bottom"/>
            <w:gridSpan w:val="4"/>
          </w:tcPr>
          <w:p>
            <w:pPr>
              <w:jc w:val="right"/>
              <w:ind w:right="1197"/>
              <w:spacing w:after="0"/>
              <w:rPr>
                <w:sz w:val="20"/>
                <w:szCs w:val="20"/>
                <w:color w:val="auto"/>
              </w:rPr>
            </w:pPr>
            <w:r>
              <w:rPr>
                <w:rFonts w:ascii="Arial" w:cs="Arial" w:eastAsia="Arial" w:hAnsi="Arial"/>
                <w:sz w:val="14"/>
                <w:szCs w:val="14"/>
                <w:i w:val="1"/>
                <w:iCs w:val="1"/>
                <w:color w:val="auto"/>
              </w:rPr>
              <w:t>(in thousands)</w:t>
            </w:r>
          </w:p>
        </w:tc>
      </w:tr>
      <w:tr>
        <w:trPr>
          <w:trHeight w:val="23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w:t>
            </w:r>
          </w:p>
        </w:tc>
      </w:tr>
      <w:tr>
        <w:trPr>
          <w:trHeight w:val="243"/>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14,880</w:t>
            </w:r>
          </w:p>
        </w:tc>
      </w:tr>
      <w:tr>
        <w:trPr>
          <w:trHeight w:val="24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17,519</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Work in process inventory relates to items that are currently undergoing preparation for sale, including itemization, cleaning, and repair.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and other current liabilities consisted of the following:</w:t>
      </w:r>
    </w:p>
    <w:p>
      <w:pPr>
        <w:spacing w:after="0" w:line="25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475"/>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294"/>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r>
      <w:tr>
        <w:trPr>
          <w:trHeight w:val="190"/>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40" w:type="dxa"/>
            <w:vAlign w:val="bottom"/>
            <w:gridSpan w:val="4"/>
          </w:tcPr>
          <w:p>
            <w:pPr>
              <w:jc w:val="right"/>
              <w:ind w:right="1194"/>
              <w:spacing w:after="0"/>
              <w:rPr>
                <w:sz w:val="20"/>
                <w:szCs w:val="20"/>
                <w:color w:val="auto"/>
              </w:rPr>
            </w:pPr>
            <w:r>
              <w:rPr>
                <w:rFonts w:ascii="Arial" w:cs="Arial" w:eastAsia="Arial" w:hAnsi="Arial"/>
                <w:sz w:val="14"/>
                <w:szCs w:val="14"/>
                <w:i w:val="1"/>
                <w:iCs w:val="1"/>
                <w:color w:val="auto"/>
              </w:rPr>
              <w:t>(in thousands)</w:t>
            </w:r>
          </w:p>
        </w:tc>
      </w:tr>
      <w:tr>
        <w:trPr>
          <w:trHeight w:val="235"/>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and site credit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18,101</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Accrued vendor liabilities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9,116</w:t>
            </w:r>
          </w:p>
        </w:tc>
      </w:tr>
      <w:tr>
        <w:trPr>
          <w:trHeight w:val="24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4,993</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returns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r>
      <w:tr>
        <w:trPr>
          <w:trHeight w:val="236"/>
        </w:trPr>
        <w:tc>
          <w:tcPr>
            <w:tcW w:w="554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4,326</w:t>
            </w:r>
          </w:p>
        </w:tc>
      </w:tr>
      <w:tr>
        <w:trPr>
          <w:trHeight w:val="23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3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43,334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50,155</w:t>
            </w:r>
          </w:p>
        </w:tc>
      </w:tr>
      <w:tr>
        <w:trPr>
          <w:trHeight w:val="21"/>
        </w:trPr>
        <w:tc>
          <w:tcPr>
            <w:tcW w:w="5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In February 2019, the Company entered into a loan and security agreement (“Term Loan”) with Western Alliance Bank for an aggregate amount of up to $40.0 million.</w:t>
      </w:r>
    </w:p>
    <w:p>
      <w:pPr>
        <w:spacing w:after="0" w:line="1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Term Loan was subsequently amended several times, with the most recent amendment taking place in July 2022. As amended, the Term Loan matures on July 14, 2027 and provides for an aggregate borrowing amount of up to $70.0 million, which bears interest at the prime rate published in the Wall Street Journal plus a margin of 1.25%, with a floor of 6.00%. The Company incurred an immaterial amount of debt issuance costs in connection with the amendment. For accounting purposes, pursuant to FASB ASC Topic 470, </w:t>
      </w:r>
      <w:r>
        <w:rPr>
          <w:rFonts w:ascii="Arial" w:cs="Arial" w:eastAsia="Arial" w:hAnsi="Arial"/>
          <w:sz w:val="18"/>
          <w:szCs w:val="18"/>
          <w:i w:val="1"/>
          <w:iCs w:val="1"/>
          <w:color w:val="auto"/>
        </w:rPr>
        <w:t>Debt</w:t>
      </w:r>
      <w:r>
        <w:rPr>
          <w:rFonts w:ascii="Arial" w:cs="Arial" w:eastAsia="Arial" w:hAnsi="Arial"/>
          <w:sz w:val="18"/>
          <w:szCs w:val="18"/>
          <w:color w:val="auto"/>
        </w:rPr>
        <w:t>, this transaction was accounted for as a modification of the Term Loan. The debt issuance costs were recognized in interest expense within the Company’s condensed consolidated statement of operations during the third quarter of 2022.</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Term Loan requires the Company to comply with certain financial covenants, including, among other things, liquidity requirements, minimum cash deposits with Western Alliance Bank, performance metrics, and a debt service coverage ratio. The Term Loan also contains affirmative and negative covenants customary for financings of this type, including, among other things, limitations or prohibitions on repurchasing common shares, declaring and paying dividends and other distributions, redeeming and repurchasing certain other indebtedness, loans and investments, additional indebtedness, liens, mergers, asset sales and transactions with affiliates. In addition, the Term Loan contains customary events of default. As of June 30, 2023 and December 31, 2022, the Company was in compliance with its debt covenants under the Term Loan.</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 Loan is payable in consecutive monthly installments. Interest is due monthly on amounts outstanding under the Term Loan.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permitted to make voluntary prepayments without penalty or premium at any time.</w:t>
      </w:r>
    </w:p>
    <w:p>
      <w:pPr>
        <w:spacing w:after="0" w:line="2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As of June 30, 2023 and December 31, 2022, the effective interest rate for borrowings under the Term Loan was 10.47% and 9.70%, respectively.</w:t>
      </w:r>
    </w:p>
    <w:p>
      <w:pPr>
        <w:sectPr>
          <w:pgSz w:w="11900" w:h="16838" w:orient="portrait"/>
          <w:cols w:equalWidth="0" w:num="1">
            <w:col w:w="11240"/>
          </w:cols>
          <w:pgMar w:left="320" w:top="126" w:right="3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During the six months ended June 30, 2023, the Company did not make any borrowings under the Term Loan and repaid a total of $2.0 million on amounts outstanding under the Term Loan. During the six months ended June 30, 2022, the Company did not make any borrowings under the Term Loan and repaid a total of $4.0 million on amounts outstanding under the Term Loan. As of June 30, 2023 and December 31, 2022, the amount outstanding under the Term Loan was $28.3 million and $30.3 million, respectively.</w:t>
      </w:r>
    </w:p>
    <w:p>
      <w:pPr>
        <w:spacing w:after="0" w:line="1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June 30, 2023 and 2022, the Company incurred $0.7 million and $0.5 million, respectively, of interest costs relating to the Term Loan. There was no capitalized interest during the three months ended June 30, 2023 and $0.3 million was capitalized as part of an asset for the three month ended June 30, 2022 .</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During the six months ended June 30, 2023 and 2022, the Company incurred $1.4 million and $1.1 million, respectively, of interest costs relating to the Term Loan, of which $0.6 million and $0.4 million, respectively, were capitalized as part of an asset.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2023, the future annual principal payments of the Term Loan were as follows:</w:t>
      </w:r>
    </w:p>
    <w:p>
      <w:pPr>
        <w:spacing w:after="0" w:line="265" w:lineRule="exact"/>
        <w:rPr>
          <w:sz w:val="20"/>
          <w:szCs w:val="20"/>
          <w:color w:val="auto"/>
        </w:rPr>
      </w:pPr>
    </w:p>
    <w:tbl>
      <w:tblPr>
        <w:tblLayout w:type="fixed"/>
        <w:tblInd w:w="1700" w:type="dxa"/>
        <w:tblCellMar>
          <w:top w:w="0" w:type="dxa"/>
          <w:left w:w="0" w:type="dxa"/>
          <w:bottom w:w="0" w:type="dxa"/>
          <w:right w:w="0" w:type="dxa"/>
        </w:tblCellMar>
      </w:tblPr>
      <w:tr>
        <w:trPr>
          <w:trHeight w:val="201"/>
        </w:trPr>
        <w:tc>
          <w:tcPr>
            <w:tcW w:w="6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Amount</w:t>
            </w:r>
          </w:p>
        </w:tc>
      </w:tr>
      <w:tr>
        <w:trPr>
          <w:trHeight w:val="183"/>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313"/>
              <w:spacing w:after="0"/>
              <w:rPr>
                <w:sz w:val="20"/>
                <w:szCs w:val="20"/>
                <w:color w:val="auto"/>
              </w:rPr>
            </w:pPr>
            <w:r>
              <w:rPr>
                <w:rFonts w:ascii="Arial" w:cs="Arial" w:eastAsia="Arial" w:hAnsi="Arial"/>
                <w:sz w:val="14"/>
                <w:szCs w:val="14"/>
                <w:i w:val="1"/>
                <w:iCs w:val="1"/>
                <w:color w:val="auto"/>
              </w:rPr>
              <w:t>(in thousands)</w:t>
            </w: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36"/>
        </w:trPr>
        <w:tc>
          <w:tcPr>
            <w:tcW w:w="616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3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14,333</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principal payments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28,333</w:t>
            </w: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discount</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 of long-term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and Stockholders’ Equity</w:t>
      </w:r>
    </w:p>
    <w:p>
      <w:pPr>
        <w:spacing w:after="0" w:line="127"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Each share of Class A common stock is entitled to one vote per share. Each share of Class B common stock is entitled to ten votes per share and is convertible at any time into one share of Class A common stock.</w:t>
      </w:r>
    </w:p>
    <w:p>
      <w:pPr>
        <w:spacing w:after="0" w:line="174"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The table below summarizes the Class A common stock and Class B common stock authorized, issued and outstanding as of June 30, 2023 and December 31, 2022:</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Class A common stock</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Class B common stock</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Class A common stock</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Class B common stock</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26035</wp:posOffset>
            </wp:positionV>
            <wp:extent cx="21863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27"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Issued and</w:t>
      </w:r>
    </w:p>
    <w:p>
      <w:pPr>
        <w:spacing w:after="0"/>
        <w:tabs>
          <w:tab w:leader="none" w:pos="1700" w:val="left"/>
        </w:tabs>
        <w:rPr>
          <w:sz w:val="20"/>
          <w:szCs w:val="20"/>
          <w:color w:val="auto"/>
        </w:rPr>
      </w:pPr>
      <w:r>
        <w:rPr>
          <w:rFonts w:ascii="Arial" w:cs="Arial" w:eastAsia="Arial" w:hAnsi="Arial"/>
          <w:sz w:val="14"/>
          <w:szCs w:val="14"/>
          <w:b w:val="1"/>
          <w:bCs w:val="1"/>
          <w:color w:val="auto"/>
        </w:rPr>
        <w:t>Authorized</w:t>
      </w:r>
      <w:r>
        <w:rPr>
          <w:sz w:val="20"/>
          <w:szCs w:val="20"/>
          <w:color w:val="auto"/>
        </w:rPr>
        <w:tab/>
      </w:r>
      <w:r>
        <w:rPr>
          <w:rFonts w:ascii="Arial" w:cs="Arial" w:eastAsia="Arial" w:hAnsi="Arial"/>
          <w:sz w:val="14"/>
          <w:szCs w:val="14"/>
          <w:b w:val="1"/>
          <w:bCs w:val="1"/>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14605</wp:posOffset>
            </wp:positionV>
            <wp:extent cx="21863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23495</wp:posOffset>
            </wp:positionV>
            <wp:extent cx="570928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9285" cy="146050"/>
                    </a:xfrm>
                    <a:prstGeom prst="rect">
                      <a:avLst/>
                    </a:prstGeom>
                    <a:noFill/>
                  </pic:spPr>
                </pic:pic>
              </a:graphicData>
            </a:graphic>
          </wp:anchor>
        </w:drawing>
      </w:r>
    </w:p>
    <w:p>
      <w:pPr>
        <w:spacing w:after="0" w:line="18" w:lineRule="exact"/>
        <w:rPr>
          <w:sz w:val="20"/>
          <w:szCs w:val="20"/>
          <w:color w:val="auto"/>
        </w:rPr>
      </w:pPr>
    </w:p>
    <w:p>
      <w:pPr>
        <w:jc w:val="both"/>
        <w:ind w:left="340"/>
        <w:spacing w:after="0"/>
        <w:tabs>
          <w:tab w:leader="none" w:pos="2340" w:val="left"/>
        </w:tabs>
        <w:rPr>
          <w:sz w:val="20"/>
          <w:szCs w:val="20"/>
          <w:color w:val="auto"/>
        </w:rPr>
      </w:pPr>
      <w:r>
        <w:rPr>
          <w:rFonts w:ascii="Arial" w:cs="Arial" w:eastAsia="Arial" w:hAnsi="Arial"/>
          <w:sz w:val="18"/>
          <w:szCs w:val="18"/>
          <w:color w:val="auto"/>
        </w:rPr>
        <w:t>1,000,000</w:t>
      </w:r>
      <w:r>
        <w:rPr>
          <w:sz w:val="20"/>
          <w:szCs w:val="20"/>
          <w:color w:val="auto"/>
        </w:rPr>
        <w:tab/>
      </w:r>
      <w:r>
        <w:rPr>
          <w:rFonts w:ascii="Arial" w:cs="Arial" w:eastAsia="Arial" w:hAnsi="Arial"/>
          <w:sz w:val="18"/>
          <w:szCs w:val="18"/>
          <w:color w:val="auto"/>
        </w:rPr>
        <w:t>74,904</w:t>
      </w:r>
    </w:p>
    <w:p>
      <w:pPr>
        <w:spacing w:after="0" w:line="23" w:lineRule="exact"/>
        <w:rPr>
          <w:sz w:val="20"/>
          <w:szCs w:val="20"/>
          <w:color w:val="auto"/>
        </w:rPr>
      </w:pPr>
    </w:p>
    <w:p>
      <w:pPr>
        <w:jc w:val="both"/>
        <w:ind w:left="480"/>
        <w:spacing w:after="0"/>
        <w:tabs>
          <w:tab w:leader="none" w:pos="2340" w:val="left"/>
        </w:tabs>
        <w:rPr>
          <w:sz w:val="20"/>
          <w:szCs w:val="20"/>
          <w:color w:val="auto"/>
        </w:rPr>
      </w:pPr>
      <w:r>
        <w:rPr>
          <w:rFonts w:ascii="Arial" w:cs="Arial" w:eastAsia="Arial" w:hAnsi="Arial"/>
          <w:sz w:val="18"/>
          <w:szCs w:val="18"/>
          <w:color w:val="auto"/>
        </w:rPr>
        <w:t>120,000</w:t>
      </w:r>
      <w:r>
        <w:rPr>
          <w:sz w:val="20"/>
          <w:szCs w:val="20"/>
          <w:color w:val="auto"/>
        </w:rPr>
        <w:tab/>
      </w:r>
      <w:r>
        <w:rPr>
          <w:rFonts w:ascii="Arial" w:cs="Arial" w:eastAsia="Arial" w:hAnsi="Arial"/>
          <w:sz w:val="18"/>
          <w:szCs w:val="18"/>
          <w:color w:val="auto"/>
        </w:rPr>
        <w:t>30,431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13970</wp:posOffset>
            </wp:positionV>
            <wp:extent cx="570928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9285" cy="179705"/>
                    </a:xfrm>
                    <a:prstGeom prst="rect">
                      <a:avLst/>
                    </a:prstGeom>
                    <a:noFill/>
                  </pic:spPr>
                </pic:pic>
              </a:graphicData>
            </a:graphic>
          </wp:anchor>
        </w:drawing>
      </w:r>
    </w:p>
    <w:p>
      <w:pPr>
        <w:spacing w:after="0" w:line="16" w:lineRule="exact"/>
        <w:rPr>
          <w:sz w:val="20"/>
          <w:szCs w:val="20"/>
          <w:color w:val="auto"/>
        </w:rPr>
      </w:pPr>
    </w:p>
    <w:p>
      <w:pPr>
        <w:jc w:val="both"/>
        <w:ind w:left="340"/>
        <w:spacing w:after="0"/>
        <w:tabs>
          <w:tab w:leader="none" w:pos="2240" w:val="left"/>
        </w:tabs>
        <w:rPr>
          <w:sz w:val="20"/>
          <w:szCs w:val="20"/>
          <w:color w:val="auto"/>
        </w:rPr>
      </w:pPr>
      <w:r>
        <w:rPr>
          <w:rFonts w:ascii="Arial" w:cs="Arial" w:eastAsia="Arial" w:hAnsi="Arial"/>
          <w:sz w:val="18"/>
          <w:szCs w:val="18"/>
          <w:color w:val="auto"/>
        </w:rPr>
        <w:t>1,120,000</w:t>
      </w:r>
      <w:r>
        <w:rPr>
          <w:sz w:val="20"/>
          <w:szCs w:val="20"/>
          <w:color w:val="auto"/>
        </w:rPr>
        <w:tab/>
      </w:r>
      <w:r>
        <w:rPr>
          <w:rFonts w:ascii="Arial" w:cs="Arial" w:eastAsia="Arial" w:hAnsi="Arial"/>
          <w:sz w:val="18"/>
          <w:szCs w:val="18"/>
          <w:color w:val="auto"/>
        </w:rPr>
        <w:t>105,335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48260</wp:posOffset>
            </wp:positionV>
            <wp:extent cx="21863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39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26035</wp:posOffset>
            </wp:positionV>
            <wp:extent cx="21863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35"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Issued and</w:t>
      </w:r>
    </w:p>
    <w:p>
      <w:pPr>
        <w:spacing w:after="0" w:line="6" w:lineRule="exact"/>
        <w:rPr>
          <w:sz w:val="20"/>
          <w:szCs w:val="20"/>
          <w:color w:val="auto"/>
        </w:rPr>
      </w:pPr>
    </w:p>
    <w:p>
      <w:pPr>
        <w:spacing w:after="0"/>
        <w:tabs>
          <w:tab w:leader="none" w:pos="1700" w:val="left"/>
        </w:tabs>
        <w:rPr>
          <w:sz w:val="20"/>
          <w:szCs w:val="20"/>
          <w:color w:val="auto"/>
        </w:rPr>
      </w:pPr>
      <w:r>
        <w:rPr>
          <w:rFonts w:ascii="Arial" w:cs="Arial" w:eastAsia="Arial" w:hAnsi="Arial"/>
          <w:sz w:val="14"/>
          <w:szCs w:val="14"/>
          <w:b w:val="1"/>
          <w:bCs w:val="1"/>
          <w:color w:val="auto"/>
        </w:rPr>
        <w:t>Authorized</w:t>
      </w:r>
      <w:r>
        <w:rPr>
          <w:sz w:val="20"/>
          <w:szCs w:val="20"/>
          <w:color w:val="auto"/>
        </w:rPr>
        <w:tab/>
      </w:r>
      <w:r>
        <w:rPr>
          <w:rFonts w:ascii="Arial" w:cs="Arial" w:eastAsia="Arial" w:hAnsi="Arial"/>
          <w:sz w:val="14"/>
          <w:szCs w:val="14"/>
          <w:b w:val="1"/>
          <w:bCs w:val="1"/>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6350</wp:posOffset>
            </wp:positionV>
            <wp:extent cx="21863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8" w:lineRule="exact"/>
        <w:rPr>
          <w:sz w:val="20"/>
          <w:szCs w:val="20"/>
          <w:color w:val="auto"/>
        </w:rPr>
      </w:pPr>
    </w:p>
    <w:p>
      <w:pPr>
        <w:ind w:left="80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23495</wp:posOffset>
            </wp:positionV>
            <wp:extent cx="570928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9285" cy="145415"/>
                    </a:xfrm>
                    <a:prstGeom prst="rect">
                      <a:avLst/>
                    </a:prstGeom>
                    <a:noFill/>
                  </pic:spPr>
                </pic:pic>
              </a:graphicData>
            </a:graphic>
          </wp:anchor>
        </w:drawing>
      </w:r>
    </w:p>
    <w:p>
      <w:pPr>
        <w:spacing w:after="0" w:line="18" w:lineRule="exact"/>
        <w:rPr>
          <w:sz w:val="20"/>
          <w:szCs w:val="20"/>
          <w:color w:val="auto"/>
        </w:rPr>
      </w:pPr>
    </w:p>
    <w:p>
      <w:pPr>
        <w:jc w:val="both"/>
        <w:ind w:left="340"/>
        <w:spacing w:after="0"/>
        <w:tabs>
          <w:tab w:leader="none" w:pos="2340" w:val="left"/>
        </w:tabs>
        <w:rPr>
          <w:sz w:val="20"/>
          <w:szCs w:val="20"/>
          <w:color w:val="auto"/>
        </w:rPr>
      </w:pPr>
      <w:r>
        <w:rPr>
          <w:rFonts w:ascii="Arial" w:cs="Arial" w:eastAsia="Arial" w:hAnsi="Arial"/>
          <w:sz w:val="18"/>
          <w:szCs w:val="18"/>
          <w:color w:val="auto"/>
        </w:rPr>
        <w:t>1,000,000</w:t>
      </w:r>
      <w:r>
        <w:rPr>
          <w:sz w:val="20"/>
          <w:szCs w:val="20"/>
          <w:color w:val="auto"/>
        </w:rPr>
        <w:tab/>
      </w:r>
      <w:r>
        <w:rPr>
          <w:rFonts w:ascii="Arial" w:cs="Arial" w:eastAsia="Arial" w:hAnsi="Arial"/>
          <w:sz w:val="18"/>
          <w:szCs w:val="18"/>
          <w:color w:val="auto"/>
        </w:rPr>
        <w:t>70,723</w:t>
      </w:r>
    </w:p>
    <w:p>
      <w:pPr>
        <w:spacing w:after="0" w:line="23" w:lineRule="exact"/>
        <w:rPr>
          <w:sz w:val="20"/>
          <w:szCs w:val="20"/>
          <w:color w:val="auto"/>
        </w:rPr>
      </w:pPr>
    </w:p>
    <w:p>
      <w:pPr>
        <w:jc w:val="both"/>
        <w:ind w:left="480"/>
        <w:spacing w:after="0"/>
        <w:tabs>
          <w:tab w:leader="none" w:pos="2340" w:val="left"/>
        </w:tabs>
        <w:rPr>
          <w:sz w:val="20"/>
          <w:szCs w:val="20"/>
          <w:color w:val="auto"/>
        </w:rPr>
      </w:pPr>
      <w:r>
        <w:rPr>
          <w:rFonts w:ascii="Arial" w:cs="Arial" w:eastAsia="Arial" w:hAnsi="Arial"/>
          <w:sz w:val="18"/>
          <w:szCs w:val="18"/>
          <w:color w:val="auto"/>
        </w:rPr>
        <w:t>120,000</w:t>
      </w:r>
      <w:r>
        <w:rPr>
          <w:sz w:val="20"/>
          <w:szCs w:val="20"/>
          <w:color w:val="auto"/>
        </w:rPr>
        <w:tab/>
      </w:r>
      <w:r>
        <w:rPr>
          <w:rFonts w:ascii="Arial" w:cs="Arial" w:eastAsia="Arial" w:hAnsi="Arial"/>
          <w:sz w:val="18"/>
          <w:szCs w:val="18"/>
          <w:color w:val="auto"/>
        </w:rPr>
        <w:t>30,809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13970</wp:posOffset>
            </wp:positionV>
            <wp:extent cx="570928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9285" cy="180340"/>
                    </a:xfrm>
                    <a:prstGeom prst="rect">
                      <a:avLst/>
                    </a:prstGeom>
                    <a:noFill/>
                  </pic:spPr>
                </pic:pic>
              </a:graphicData>
            </a:graphic>
          </wp:anchor>
        </w:drawing>
      </w:r>
    </w:p>
    <w:p>
      <w:pPr>
        <w:spacing w:after="0" w:line="16" w:lineRule="exact"/>
        <w:rPr>
          <w:sz w:val="20"/>
          <w:szCs w:val="20"/>
          <w:color w:val="auto"/>
        </w:rPr>
      </w:pPr>
    </w:p>
    <w:p>
      <w:pPr>
        <w:jc w:val="both"/>
        <w:ind w:left="340"/>
        <w:spacing w:after="0"/>
        <w:tabs>
          <w:tab w:leader="none" w:pos="2240" w:val="left"/>
        </w:tabs>
        <w:rPr>
          <w:sz w:val="20"/>
          <w:szCs w:val="20"/>
          <w:color w:val="auto"/>
        </w:rPr>
      </w:pPr>
      <w:r>
        <w:rPr>
          <w:rFonts w:ascii="Arial" w:cs="Arial" w:eastAsia="Arial" w:hAnsi="Arial"/>
          <w:sz w:val="18"/>
          <w:szCs w:val="18"/>
          <w:color w:val="auto"/>
        </w:rPr>
        <w:t>1,120,000</w:t>
      </w:r>
      <w:r>
        <w:rPr>
          <w:sz w:val="20"/>
          <w:szCs w:val="20"/>
          <w:color w:val="auto"/>
        </w:rPr>
        <w:tab/>
      </w:r>
      <w:r>
        <w:rPr>
          <w:rFonts w:ascii="Arial" w:cs="Arial" w:eastAsia="Arial" w:hAnsi="Arial"/>
          <w:sz w:val="18"/>
          <w:szCs w:val="18"/>
          <w:color w:val="auto"/>
        </w:rPr>
        <w:t>101,532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48260</wp:posOffset>
            </wp:positionV>
            <wp:extent cx="21863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8630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6420" w:space="720"/>
            <w:col w:w="410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stock-based compensation plans, which are more fully described in Note 11, Stock-Based Compensation Plans, to the Consolidated Financial Statements included in the 2022 10-K. During the six months ended June 30, 2023, the Company granted restricted stock units subject to service conditions.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stock-based compensation expense by financial statement line item:</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4300" w:type="dxa"/>
            <w:vAlign w:val="bottom"/>
          </w:tcPr>
          <w:p>
            <w:pPr>
              <w:spacing w:after="0"/>
              <w:rPr>
                <w:sz w:val="17"/>
                <w:szCs w:val="17"/>
                <w:color w:val="auto"/>
              </w:rPr>
            </w:pPr>
          </w:p>
        </w:tc>
        <w:tc>
          <w:tcPr>
            <w:tcW w:w="3400" w:type="dxa"/>
            <w:vAlign w:val="bottom"/>
            <w:tcBorders>
              <w:bottom w:val="single" w:sz="8" w:color="auto"/>
            </w:tcBorders>
            <w:gridSpan w:val="5"/>
          </w:tcPr>
          <w:p>
            <w:pPr>
              <w:jc w:val="right"/>
              <w:ind w:right="89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996"/>
              <w:spacing w:after="0"/>
              <w:rPr>
                <w:sz w:val="20"/>
                <w:szCs w:val="20"/>
                <w:color w:val="auto"/>
              </w:rPr>
            </w:pPr>
            <w:r>
              <w:rPr>
                <w:rFonts w:ascii="Arial" w:cs="Arial" w:eastAsia="Arial" w:hAnsi="Arial"/>
                <w:sz w:val="14"/>
                <w:szCs w:val="14"/>
                <w:b w:val="1"/>
                <w:bCs w:val="1"/>
                <w:color w:val="auto"/>
              </w:rPr>
              <w:t>Six Months Ended</w:t>
            </w:r>
          </w:p>
        </w:tc>
      </w:tr>
      <w:tr>
        <w:trPr>
          <w:trHeight w:val="143"/>
        </w:trPr>
        <w:tc>
          <w:tcPr>
            <w:tcW w:w="4300" w:type="dxa"/>
            <w:vAlign w:val="bottom"/>
          </w:tcPr>
          <w:p>
            <w:pPr>
              <w:spacing w:after="0"/>
              <w:rPr>
                <w:sz w:val="12"/>
                <w:szCs w:val="12"/>
                <w:color w:val="auto"/>
              </w:rPr>
            </w:pPr>
          </w:p>
        </w:tc>
        <w:tc>
          <w:tcPr>
            <w:tcW w:w="11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jc w:val="right"/>
              <w:ind w:right="438"/>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Pr>
          <w:p>
            <w:pPr>
              <w:jc w:val="right"/>
              <w:ind w:right="458"/>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jc w:val="right"/>
              <w:ind w:right="456"/>
              <w:spacing w:after="0" w:line="143" w:lineRule="exact"/>
              <w:rPr>
                <w:sz w:val="20"/>
                <w:szCs w:val="20"/>
                <w:color w:val="auto"/>
              </w:rPr>
            </w:pPr>
            <w:r>
              <w:rPr>
                <w:rFonts w:ascii="Arial" w:cs="Arial" w:eastAsia="Arial" w:hAnsi="Arial"/>
                <w:sz w:val="14"/>
                <w:szCs w:val="14"/>
                <w:b w:val="1"/>
                <w:bCs w:val="1"/>
                <w:color w:val="auto"/>
              </w:rPr>
              <w:t>June 30,</w:t>
            </w:r>
          </w:p>
        </w:tc>
      </w:tr>
      <w:tr>
        <w:trPr>
          <w:trHeight w:val="189"/>
        </w:trPr>
        <w:tc>
          <w:tcPr>
            <w:tcW w:w="4300" w:type="dxa"/>
            <w:vAlign w:val="bottom"/>
          </w:tcPr>
          <w:p>
            <w:pPr>
              <w:spacing w:after="0"/>
              <w:rPr>
                <w:sz w:val="16"/>
                <w:szCs w:val="16"/>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r>
      <w:tr>
        <w:trPr>
          <w:trHeight w:val="190"/>
        </w:trPr>
        <w:tc>
          <w:tcPr>
            <w:tcW w:w="4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product, and technology</w:t>
            </w:r>
          </w:p>
        </w:tc>
        <w:tc>
          <w:tcPr>
            <w:tcW w:w="1140" w:type="dxa"/>
            <w:vAlign w:val="bottom"/>
            <w:shd w:val="clear" w:color="auto" w:fill="CCEEFF"/>
          </w:tcPr>
          <w:p>
            <w:pPr>
              <w:jc w:val="right"/>
              <w:ind w:right="92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2,913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Marketing</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1,559</w:t>
            </w: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11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3,792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8,307</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6,660</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140" w:type="dxa"/>
            <w:vAlign w:val="bottom"/>
          </w:tcPr>
          <w:p>
            <w:pPr>
              <w:jc w:val="right"/>
              <w:ind w:right="921"/>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7,628</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10,058</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17,019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13,581</w:t>
            </w:r>
          </w:p>
        </w:tc>
      </w:tr>
      <w:tr>
        <w:trPr>
          <w:trHeight w:val="20"/>
        </w:trPr>
        <w:tc>
          <w:tcPr>
            <w:tcW w:w="4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12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The following table summarizes the activities for all stock options under the Company’s share-based compensation plans for the six months ended June 30,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 Options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6"/>
              <w:spacing w:after="0"/>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rPr>
              <w:t>Exercise Price Per</w:t>
            </w:r>
          </w:p>
        </w:tc>
        <w:tc>
          <w:tcPr>
            <w:tcW w:w="10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Contractual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2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9"/>
              </w:rPr>
              <w:t>Value(1)</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9"/>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5.20 years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 or expired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June 30, 2023</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99"/>
              </w:rPr>
              <w:t>4.70 years</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2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Exercisable as of June 30, 2023</w:t>
            </w: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15,028</w:t>
            </w:r>
          </w:p>
        </w:tc>
        <w:tc>
          <w:tcPr>
            <w:tcW w:w="2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1.91</w:t>
            </w:r>
          </w:p>
        </w:tc>
        <w:tc>
          <w:tcPr>
            <w:tcW w:w="100" w:type="dxa"/>
            <w:vAlign w:val="bottom"/>
          </w:tcPr>
          <w:p>
            <w:pPr>
              <w:spacing w:after="0"/>
              <w:rPr>
                <w:sz w:val="17"/>
                <w:szCs w:val="17"/>
                <w:color w:val="auto"/>
              </w:rPr>
            </w:pPr>
          </w:p>
        </w:tc>
        <w:tc>
          <w:tcPr>
            <w:tcW w:w="1660" w:type="dxa"/>
            <w:vAlign w:val="bottom"/>
          </w:tcPr>
          <w:p>
            <w:pPr>
              <w:ind w:left="800"/>
              <w:spacing w:after="0" w:line="203" w:lineRule="exact"/>
              <w:rPr>
                <w:sz w:val="20"/>
                <w:szCs w:val="20"/>
                <w:color w:val="auto"/>
              </w:rPr>
            </w:pPr>
            <w:r>
              <w:rPr>
                <w:rFonts w:ascii="Arial" w:cs="Arial" w:eastAsia="Arial" w:hAnsi="Arial"/>
                <w:sz w:val="18"/>
                <w:szCs w:val="18"/>
                <w:color w:val="auto"/>
                <w:w w:val="99"/>
              </w:rPr>
              <w:t>4.34 years</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3" w:lineRule="exact"/>
              <w:rPr>
                <w:sz w:val="20"/>
                <w:szCs w:val="20"/>
                <w:color w:val="auto"/>
              </w:rPr>
            </w:pPr>
            <w:r>
              <w:rPr>
                <w:rFonts w:ascii="Arial" w:cs="Arial" w:eastAsia="Arial" w:hAnsi="Arial"/>
                <w:sz w:val="18"/>
                <w:szCs w:val="18"/>
                <w:color w:val="auto"/>
              </w:rPr>
              <w:t>9,156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240" w:type="dxa"/>
            <w:vAlign w:val="bottom"/>
            <w:tcBorders>
              <w:bottom w:val="single" w:sz="8" w:color="auto"/>
            </w:tcBorders>
          </w:tcPr>
          <w:p>
            <w:pPr>
              <w:spacing w:after="0"/>
              <w:rPr>
                <w:sz w:val="13"/>
                <w:szCs w:val="13"/>
                <w:color w:val="auto"/>
              </w:rPr>
            </w:pPr>
          </w:p>
        </w:tc>
        <w:tc>
          <w:tcPr>
            <w:tcW w:w="2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40" w:hanging="332"/>
        <w:spacing w:after="0" w:line="27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intrinsic value is the amount by which the current market value of the underlying stock exceeds the exercise price of the stock awards.</w:t>
      </w:r>
    </w:p>
    <w:p>
      <w:pPr>
        <w:spacing w:after="0" w:line="174"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There were no options granted during the three and six months ended June 30, 2023 and 2022. The total intrinsic value of stock options exercised during the six months ended June 30, 2023 was $0.2 million.</w:t>
      </w:r>
    </w:p>
    <w:p>
      <w:pPr>
        <w:spacing w:after="0" w:line="174"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As of June 30, 2023, the total unrecognized compensation cost related to all nonvested stock options was $2.2 million and the related weighted-average period over which it is expected to be recognized was approximately 1.17 years.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Restricted Stock Units</w:t>
      </w:r>
    </w:p>
    <w:p>
      <w:pPr>
        <w:spacing w:after="0" w:line="231" w:lineRule="exact"/>
        <w:rPr>
          <w:sz w:val="20"/>
          <w:szCs w:val="20"/>
          <w:color w:val="auto"/>
        </w:rPr>
      </w:pPr>
    </w:p>
    <w:p>
      <w:pPr>
        <w:ind w:left="180" w:firstLine="324"/>
        <w:spacing w:after="0" w:line="275" w:lineRule="auto"/>
        <w:rPr>
          <w:sz w:val="20"/>
          <w:szCs w:val="20"/>
          <w:color w:val="auto"/>
        </w:rPr>
      </w:pPr>
      <w:r>
        <w:rPr>
          <w:rFonts w:ascii="Arial" w:cs="Arial" w:eastAsia="Arial" w:hAnsi="Arial"/>
          <w:sz w:val="18"/>
          <w:szCs w:val="18"/>
          <w:color w:val="auto"/>
        </w:rPr>
        <w:t>The following table summarizes the activities for all restricted stock units (“RSUs”) under the Company’s share-based compensation plans for the six months ended June 30, 2023:</w:t>
      </w: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37"/>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6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37"/>
              <w:spacing w:after="0" w:line="148"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0"/>
        </w:trPr>
        <w:tc>
          <w:tcPr>
            <w:tcW w:w="5540" w:type="dxa"/>
            <w:vAlign w:val="bottom"/>
          </w:tcPr>
          <w:p>
            <w:pPr>
              <w:spacing w:after="0"/>
              <w:rPr>
                <w:sz w:val="16"/>
                <w:szCs w:val="16"/>
                <w:color w:val="auto"/>
              </w:rPr>
            </w:pPr>
          </w:p>
        </w:tc>
        <w:tc>
          <w:tcPr>
            <w:tcW w:w="1660" w:type="dxa"/>
            <w:vAlign w:val="bottom"/>
          </w:tcPr>
          <w:p>
            <w:pPr>
              <w:jc w:val="right"/>
              <w:ind w:right="275"/>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and nonvested as of December 31, 2022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8,814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nonvested as of June 30, 2023</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vesting date fair value of RSUs that vested during the six months ended June 30, 2023 was $17.3 million.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March 31, 2023, the Company modified the vesting schedule of substantially all RSUs outstanding as of December 31, 2022 from 4 years to 3 years and recognized compensation expense of $2.4 million related to the acceleration of the vesting schedule.</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As of June 30, 2023, the total unrecognized compensation cost related to all nonvested RSUs was $54.9 million and the related weighted-average period over which it is expected to be recognized was approximately 2.11 years.</w:t>
      </w:r>
    </w:p>
    <w:p>
      <w:pPr>
        <w:spacing w:after="0" w:line="272" w:lineRule="exact"/>
        <w:rPr>
          <w:sz w:val="20"/>
          <w:szCs w:val="20"/>
          <w:color w:val="auto"/>
        </w:rPr>
      </w:pPr>
    </w:p>
    <w:p>
      <w:pPr>
        <w:ind w:left="180" w:right="8080" w:hanging="172"/>
        <w:spacing w:after="0" w:line="381" w:lineRule="auto"/>
        <w:tabs>
          <w:tab w:leader="none" w:pos="31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 Contingencies</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limited and customary indemnification obligations. The Company’s exposure under these agreements is unknown because it involves claims that may be made against the Company in the future, but that have not yet been made.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quarterly income tax provision reflects an estimate of the corresponding quarter’s state taxes in the United States. The provision for income tax expense for the three and six months ended June 30, 2023 and 2022 was determined based upon estimates of the Company’s annual effective tax rate for the years ending December 31, 2023 and 2022, respectively. Since the Company is in a full valuation allowance position due to losses incurred since inception, the provision for taxes consists solely of certain state income taxes.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Loss Per Share</w:t>
      </w:r>
    </w:p>
    <w:p>
      <w:pPr>
        <w:spacing w:after="0" w:line="127"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The following participating securities have been excluded from the computation of diluted loss per share for the periods presented because including them would have been anti-dilutive: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40" w:type="dxa"/>
            <w:vAlign w:val="bottom"/>
            <w:gridSpan w:val="3"/>
          </w:tcPr>
          <w:p>
            <w:pPr>
              <w:ind w:left="540"/>
              <w:spacing w:after="0"/>
              <w:rPr>
                <w:sz w:val="20"/>
                <w:szCs w:val="20"/>
                <w:color w:val="auto"/>
              </w:rPr>
            </w:pPr>
            <w:r>
              <w:rPr>
                <w:rFonts w:ascii="Arial" w:cs="Arial" w:eastAsia="Arial" w:hAnsi="Arial"/>
                <w:sz w:val="14"/>
                <w:szCs w:val="14"/>
                <w:b w:val="1"/>
                <w:bCs w:val="1"/>
                <w:color w:val="auto"/>
              </w:rPr>
              <w:t>June 30,</w:t>
            </w:r>
          </w:p>
        </w:tc>
        <w:tc>
          <w:tcPr>
            <w:tcW w:w="23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220" w:type="dxa"/>
            <w:vAlign w:val="bottom"/>
            <w:gridSpan w:val="2"/>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40" w:type="dxa"/>
            <w:vAlign w:val="bottom"/>
            <w:tcBorders>
              <w:top w:val="single" w:sz="8" w:color="auto"/>
            </w:tcBorders>
            <w:gridSpan w:val="3"/>
          </w:tcPr>
          <w:p>
            <w:pPr>
              <w:ind w:left="126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17,294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18,514</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12,366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9,285</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Delayed share issuance related to acquisition</w:t>
            </w:r>
          </w:p>
        </w:tc>
        <w:tc>
          <w:tcPr>
            <w:tcW w:w="1560" w:type="dxa"/>
            <w:vAlign w:val="bottom"/>
            <w:shd w:val="clear" w:color="auto" w:fill="CCEEFF"/>
          </w:tcPr>
          <w:p>
            <w:pPr>
              <w:spacing w:after="0"/>
              <w:rPr>
                <w:sz w:val="20"/>
                <w:szCs w:val="20"/>
                <w:color w:val="auto"/>
              </w:rPr>
            </w:pPr>
          </w:p>
        </w:tc>
        <w:tc>
          <w:tcPr>
            <w:tcW w:w="22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56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29,684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27,989</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jc w:val="right"/>
              <w:ind w:right="894"/>
              <w:spacing w:after="0"/>
              <w:rPr>
                <w:sz w:val="20"/>
                <w:szCs w:val="20"/>
                <w:color w:val="auto"/>
              </w:rPr>
            </w:pPr>
            <w:r>
              <w:rPr>
                <w:rFonts w:ascii="Arial" w:cs="Arial" w:eastAsia="Arial" w:hAnsi="Arial"/>
                <w:sz w:val="18"/>
                <w:szCs w:val="18"/>
                <w:color w:val="auto"/>
              </w:rPr>
              <w:t>19</w:t>
            </w: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1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The following discussion and analysis of our financial condition and results of operations should be read in conjunction with other information, including our condensed consolidated financial statements and related notes included in Part I, Item 1, </w:t>
      </w:r>
      <w:r>
        <w:rPr>
          <w:rFonts w:ascii="Arial" w:cs="Arial" w:eastAsia="Arial" w:hAnsi="Arial"/>
          <w:sz w:val="18"/>
          <w:szCs w:val="18"/>
          <w:color w:val="auto"/>
        </w:rPr>
        <w:t>Financial Statements</w:t>
      </w:r>
      <w:r>
        <w:rPr>
          <w:rFonts w:ascii="Arial" w:cs="Arial" w:eastAsia="Arial" w:hAnsi="Arial"/>
          <w:sz w:val="18"/>
          <w:szCs w:val="18"/>
          <w:i w:val="1"/>
          <w:iCs w:val="1"/>
          <w:color w:val="auto"/>
        </w:rPr>
        <w:t xml:space="preserve">, of this Quarterly Report on Form 10-Q; Part I, Item 1A, </w:t>
      </w:r>
      <w:r>
        <w:rPr>
          <w:rFonts w:ascii="Arial" w:cs="Arial" w:eastAsia="Arial" w:hAnsi="Arial"/>
          <w:sz w:val="18"/>
          <w:szCs w:val="18"/>
          <w:color w:val="auto"/>
        </w:rPr>
        <w:t>Risk Factors</w:t>
      </w:r>
      <w:r>
        <w:rPr>
          <w:rFonts w:ascii="Arial" w:cs="Arial" w:eastAsia="Arial" w:hAnsi="Arial"/>
          <w:sz w:val="18"/>
          <w:szCs w:val="18"/>
          <w:i w:val="1"/>
          <w:iCs w:val="1"/>
          <w:color w:val="auto"/>
        </w:rPr>
        <w:t>, of this Quarterly Report on Form 10-Q; and our consolidated financial statements and related notes appearing in our Annual Report on Form 10-K for the year ended December 31, 2022 (the “2022 10-K”). The following discussion contains forward-looking statements that reflect our plans, estimates and beliefs. Our actual results could differ materially from those discussed in the forward-looking statements. You should review the section titled “Special Note Regarding Forward-Looking Statements” for a discussion of forward-looking statements and the section titled “Risk Factors” for a discussion of factors that could cause actual results to differ materially from the results described in or implied by the forward -looking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thredUP operates one of the world’s largest online resale platforms for apparel, shoes and accessories. Our mission is to inspire a new generation of consumers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January 2023.</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thredUP’s proprietary operating platform is the foundation for our managed marketplace, where we have bridged online and offline technology to make the buying and selling of tens of millions of unique items easy and fun. The marketplaces we have built enable buyers in the US and in Europe to browse and purchase resale items for primarily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thredUP’s sellers order a Clean Out Kit, fill it and return it to us using our prepaid label. We take it from there and do the work to make those items available for resale. Aside from Clean Out Kits, thredUP also sources inventory from a variety of supply channels, such as wholesale supply in Europe.</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our core marketplace, some of the world’s leading brands and retailers are already taking advantage of our RaaS offering, which allows them to conveniently offer a scalable closet clean out service and/or resale shop to their customers. We believe RaaS will accelerate the growth of this emerging category and form the backbone of the modern resale experience domestically and internationally.</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Macroeconomic Factors</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Macroeconomic factors, including inflation, increased interest rates, significant capital market volatility, and global economic and geopolitical developments have direct and indirect impacts on our results of operations that are difficult to isolate and quantify. These factors contributed to increases in our operating costs during 2022 and the first half of 2023 primarily due to increased transportation costs and wage rates. In addition, rising fuel, utility, and food costs, rising interest rates, and recessionary fears may impact customer demand and our ability to forecast consumer spending patterns. We expect some or all of these factors to continue to impact our operations at least throughout the rest of 2023.</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Second Quarter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was $82.7 million, representing an increase of 8.2% year-over-year.</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 xml:space="preserve">Gross Profit and Margin: </w:t>
      </w:r>
      <w:r>
        <w:rPr>
          <w:rFonts w:ascii="Arial" w:cs="Arial" w:eastAsia="Arial" w:hAnsi="Arial"/>
          <w:sz w:val="18"/>
          <w:szCs w:val="18"/>
          <w:color w:val="auto"/>
        </w:rPr>
        <w:t>Gross profit totaled $55.7 million, representing an increase of 5.9% year-over-year. Gross margin was 67.4%,</w:t>
      </w:r>
      <w:r>
        <w:rPr>
          <w:rFonts w:ascii="Arial" w:cs="Arial" w:eastAsia="Arial" w:hAnsi="Arial"/>
          <w:sz w:val="18"/>
          <w:szCs w:val="18"/>
          <w:b w:val="1"/>
          <w:bCs w:val="1"/>
          <w:color w:val="auto"/>
        </w:rPr>
        <w:t xml:space="preserve"> </w:t>
      </w:r>
      <w:r>
        <w:rPr>
          <w:rFonts w:ascii="Arial" w:cs="Arial" w:eastAsia="Arial" w:hAnsi="Arial"/>
          <w:sz w:val="18"/>
          <w:szCs w:val="18"/>
          <w:color w:val="auto"/>
        </w:rPr>
        <w:t>a decrease of 150 basis points from 68.9% in the comparable quarter last year.</w:t>
      </w:r>
    </w:p>
    <w:p>
      <w:pPr>
        <w:spacing w:after="0" w:line="15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$18.8 million, or a negative 22.7% of revenue, for the second quarter of 2023, compared to a net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$28.4 million, or a negative 37.2% of revenue, for the second quarter of 2022.</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 xml:space="preserve">Non-GAAP Adjusted EBITDA Loss: </w:t>
      </w:r>
      <w:r>
        <w:rPr>
          <w:rFonts w:ascii="Arial" w:cs="Arial" w:eastAsia="Arial" w:hAnsi="Arial"/>
          <w:sz w:val="18"/>
          <w:szCs w:val="18"/>
          <w:color w:val="auto"/>
        </w:rPr>
        <w:t>Non-GAAP Adjusted EBITDA loss was $5.0 million, or a negative 6.1% of revenue,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2023, compared to Non-GAAP Adjusted EBITDA loss of $13.5 million, or a negative 17.7% of revenue, for the second quarter of 2022. Non-GAAP Adjusted EBITDA loss and Non-GAAP Adjusted EBITDA loss margin are non-GAAP measures which may not be comparable to similarly-titled measures used by other companies. See below for a reconciliation of Non-GAAP Adjusted EBITDA loss to net loss.</w:t>
      </w:r>
    </w:p>
    <w:p>
      <w:pPr>
        <w:spacing w:after="0" w:line="17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 xml:space="preserve">Active Buyers and Orders: </w:t>
      </w:r>
      <w:r>
        <w:rPr>
          <w:rFonts w:ascii="Arial" w:cs="Arial" w:eastAsia="Arial" w:hAnsi="Arial"/>
          <w:sz w:val="18"/>
          <w:szCs w:val="18"/>
          <w:color w:val="auto"/>
        </w:rPr>
        <w:t>Active Buyers totaled 1.7 million and Orders totaled 1.8 million in the second quarter of 2023, representing a</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of 0.8% and an increase of 5.0%, respectively, compared to the second quarter of 2022.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293"/>
              <w:spacing w:after="0" w:line="143"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2"/>
                <w:szCs w:val="12"/>
                <w:color w:val="auto"/>
              </w:rPr>
            </w:pPr>
          </w:p>
        </w:tc>
        <w:tc>
          <w:tcPr>
            <w:tcW w:w="1320" w:type="dxa"/>
            <w:vAlign w:val="bottom"/>
          </w:tcPr>
          <w:p>
            <w:pPr>
              <w:jc w:val="right"/>
              <w:ind w:right="533"/>
              <w:spacing w:after="0" w:line="143" w:lineRule="exact"/>
              <w:rPr>
                <w:sz w:val="20"/>
                <w:szCs w:val="20"/>
                <w:color w:val="auto"/>
              </w:rPr>
            </w:pPr>
            <w:r>
              <w:rPr>
                <w:rFonts w:ascii="Arial" w:cs="Arial" w:eastAsia="Arial" w:hAnsi="Arial"/>
                <w:sz w:val="14"/>
                <w:szCs w:val="14"/>
                <w:b w:val="1"/>
                <w:bCs w:val="1"/>
                <w:color w:val="auto"/>
              </w:rPr>
              <w:t>June 30,</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313"/>
              <w:spacing w:after="0" w:line="14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2"/>
                <w:szCs w:val="12"/>
                <w:color w:val="auto"/>
              </w:rPr>
            </w:pPr>
          </w:p>
        </w:tc>
        <w:tc>
          <w:tcPr>
            <w:tcW w:w="1340" w:type="dxa"/>
            <w:vAlign w:val="bottom"/>
          </w:tcPr>
          <w:p>
            <w:pPr>
              <w:jc w:val="right"/>
              <w:ind w:right="553"/>
              <w:spacing w:after="0" w:line="143" w:lineRule="exact"/>
              <w:rPr>
                <w:sz w:val="20"/>
                <w:szCs w:val="20"/>
                <w:color w:val="auto"/>
              </w:rPr>
            </w:pPr>
            <w:r>
              <w:rPr>
                <w:rFonts w:ascii="Arial" w:cs="Arial" w:eastAsia="Arial" w:hAnsi="Arial"/>
                <w:sz w:val="14"/>
                <w:szCs w:val="14"/>
                <w:b w:val="1"/>
                <w:bCs w:val="1"/>
                <w:color w:val="auto"/>
              </w:rPr>
              <w:t>June 30,</w:t>
            </w:r>
          </w:p>
        </w:tc>
        <w:tc>
          <w:tcPr>
            <w:tcW w:w="8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60" w:type="dxa"/>
            <w:vAlign w:val="bottom"/>
            <w:gridSpan w:val="5"/>
          </w:tcPr>
          <w:p>
            <w:pPr>
              <w:jc w:val="right"/>
              <w:ind w:right="173"/>
              <w:spacing w:after="0"/>
              <w:rPr>
                <w:sz w:val="20"/>
                <w:szCs w:val="20"/>
                <w:color w:val="auto"/>
              </w:rPr>
            </w:pPr>
            <w:r>
              <w:rPr>
                <w:rFonts w:ascii="Arial" w:cs="Arial" w:eastAsia="Arial" w:hAnsi="Arial"/>
                <w:sz w:val="14"/>
                <w:szCs w:val="14"/>
                <w:i w:val="1"/>
                <w:iCs w:val="1"/>
                <w:color w:val="auto"/>
              </w:rPr>
              <w:t>(in thousands, except percentages)</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Active Buyers (as of period end)</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1,710</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1,724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1,710</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1,724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Orders</w:t>
            </w:r>
          </w:p>
        </w:tc>
        <w:tc>
          <w:tcPr>
            <w:tcW w:w="24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1,789</w:t>
            </w:r>
          </w:p>
        </w:tc>
        <w:tc>
          <w:tcPr>
            <w:tcW w:w="300" w:type="dxa"/>
            <w:vAlign w:val="bottom"/>
          </w:tcPr>
          <w:p>
            <w:pPr>
              <w:spacing w:after="0"/>
              <w:rPr>
                <w:sz w:val="19"/>
                <w:szCs w:val="19"/>
                <w:color w:val="auto"/>
              </w:rPr>
            </w:pPr>
          </w:p>
        </w:tc>
        <w:tc>
          <w:tcPr>
            <w:tcW w:w="1320" w:type="dxa"/>
            <w:vAlign w:val="bottom"/>
          </w:tcPr>
          <w:p>
            <w:pPr>
              <w:jc w:val="right"/>
              <w:ind w:right="393"/>
              <w:spacing w:after="0"/>
              <w:rPr>
                <w:sz w:val="20"/>
                <w:szCs w:val="20"/>
                <w:color w:val="auto"/>
              </w:rPr>
            </w:pPr>
            <w:r>
              <w:rPr>
                <w:rFonts w:ascii="Arial" w:cs="Arial" w:eastAsia="Arial" w:hAnsi="Arial"/>
                <w:sz w:val="18"/>
                <w:szCs w:val="18"/>
                <w:color w:val="auto"/>
              </w:rPr>
              <w:t>1,704</w:t>
            </w: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3,300</w:t>
            </w:r>
          </w:p>
        </w:tc>
        <w:tc>
          <w:tcPr>
            <w:tcW w:w="280" w:type="dxa"/>
            <w:vAlign w:val="bottom"/>
          </w:tcPr>
          <w:p>
            <w:pPr>
              <w:spacing w:after="0"/>
              <w:rPr>
                <w:sz w:val="19"/>
                <w:szCs w:val="19"/>
                <w:color w:val="auto"/>
              </w:rPr>
            </w:pPr>
          </w:p>
        </w:tc>
        <w:tc>
          <w:tcPr>
            <w:tcW w:w="1340" w:type="dxa"/>
            <w:vAlign w:val="bottom"/>
          </w:tcPr>
          <w:p>
            <w:pPr>
              <w:jc w:val="right"/>
              <w:ind w:right="413"/>
              <w:spacing w:after="0"/>
              <w:rPr>
                <w:sz w:val="20"/>
                <w:szCs w:val="20"/>
                <w:color w:val="auto"/>
              </w:rPr>
            </w:pPr>
            <w:r>
              <w:rPr>
                <w:rFonts w:ascii="Arial" w:cs="Arial" w:eastAsia="Arial" w:hAnsi="Arial"/>
                <w:sz w:val="18"/>
                <w:szCs w:val="18"/>
                <w:color w:val="auto"/>
              </w:rPr>
              <w:t>3,344</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82,658</w:t>
            </w: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76,421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158,580</w:t>
            </w:r>
          </w:p>
        </w:tc>
        <w:tc>
          <w:tcPr>
            <w:tcW w:w="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149,116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55,732</w:t>
            </w:r>
          </w:p>
        </w:tc>
        <w:tc>
          <w:tcPr>
            <w:tcW w:w="3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93"/>
              <w:spacing w:after="0"/>
              <w:rPr>
                <w:sz w:val="20"/>
                <w:szCs w:val="20"/>
                <w:color w:val="auto"/>
              </w:rPr>
            </w:pPr>
            <w:r>
              <w:rPr>
                <w:rFonts w:ascii="Arial" w:cs="Arial" w:eastAsia="Arial" w:hAnsi="Arial"/>
                <w:sz w:val="18"/>
                <w:szCs w:val="18"/>
                <w:color w:val="auto"/>
              </w:rPr>
              <w:t>52,648</w:t>
            </w: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106,825</w:t>
            </w:r>
          </w:p>
        </w:tc>
        <w:tc>
          <w:tcPr>
            <w:tcW w:w="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13"/>
              <w:spacing w:after="0"/>
              <w:rPr>
                <w:sz w:val="20"/>
                <w:szCs w:val="20"/>
                <w:color w:val="auto"/>
              </w:rPr>
            </w:pPr>
            <w:r>
              <w:rPr>
                <w:rFonts w:ascii="Arial" w:cs="Arial" w:eastAsia="Arial" w:hAnsi="Arial"/>
                <w:sz w:val="18"/>
                <w:szCs w:val="18"/>
                <w:color w:val="auto"/>
              </w:rPr>
              <w:t>102,876</w:t>
            </w: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67.4 %</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68.9 %</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 bps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67.4 %</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69.0 %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 bps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(18,760)</w:t>
            </w:r>
          </w:p>
        </w:tc>
        <w:tc>
          <w:tcPr>
            <w:tcW w:w="3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3"/>
              <w:spacing w:after="0"/>
              <w:rPr>
                <w:sz w:val="20"/>
                <w:szCs w:val="20"/>
                <w:color w:val="auto"/>
              </w:rPr>
            </w:pPr>
            <w:r>
              <w:rPr>
                <w:rFonts w:ascii="Arial" w:cs="Arial" w:eastAsia="Arial" w:hAnsi="Arial"/>
                <w:sz w:val="18"/>
                <w:szCs w:val="18"/>
                <w:color w:val="auto"/>
              </w:rPr>
              <w:t>(28,399)</w:t>
            </w:r>
          </w:p>
        </w:tc>
        <w:tc>
          <w:tcPr>
            <w:tcW w:w="880" w:type="dxa"/>
            <w:vAlign w:val="bottom"/>
          </w:tcPr>
          <w:p>
            <w:pPr>
              <w:jc w:val="right"/>
              <w:spacing w:after="0"/>
              <w:rPr>
                <w:sz w:val="20"/>
                <w:szCs w:val="20"/>
                <w:color w:val="auto"/>
              </w:rPr>
            </w:pPr>
            <w:r>
              <w:rPr>
                <w:rFonts w:ascii="Arial" w:cs="Arial" w:eastAsia="Arial" w:hAnsi="Arial"/>
                <w:sz w:val="18"/>
                <w:szCs w:val="18"/>
                <w:color w:val="auto"/>
              </w:rPr>
              <w:t>(33.9)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(38,553)</w:t>
            </w:r>
          </w:p>
        </w:tc>
        <w:tc>
          <w:tcPr>
            <w:tcW w:w="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3"/>
              <w:spacing w:after="0"/>
              <w:rPr>
                <w:sz w:val="20"/>
                <w:szCs w:val="20"/>
                <w:color w:val="auto"/>
              </w:rPr>
            </w:pPr>
            <w:r>
              <w:rPr>
                <w:rFonts w:ascii="Arial" w:cs="Arial" w:eastAsia="Arial" w:hAnsi="Arial"/>
                <w:sz w:val="18"/>
                <w:szCs w:val="18"/>
                <w:color w:val="auto"/>
              </w:rPr>
              <w:t>(49,107)</w:t>
            </w: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margin</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(37.2)%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bps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(32.9)%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bps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Non-GAAP Adjusted EBITDA</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13"/>
              <w:spacing w:after="0"/>
              <w:rPr>
                <w:sz w:val="20"/>
                <w:szCs w:val="20"/>
                <w:color w:val="auto"/>
              </w:rPr>
            </w:pPr>
            <w:r>
              <w:rPr>
                <w:rFonts w:ascii="Arial" w:cs="Arial" w:eastAsia="Arial" w:hAnsi="Arial"/>
                <w:sz w:val="18"/>
                <w:szCs w:val="18"/>
                <w:color w:val="auto"/>
              </w:rPr>
              <w:t>(5,012)</w:t>
            </w:r>
          </w:p>
        </w:tc>
        <w:tc>
          <w:tcPr>
            <w:tcW w:w="30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53"/>
              <w:spacing w:after="0"/>
              <w:rPr>
                <w:sz w:val="20"/>
                <w:szCs w:val="20"/>
                <w:color w:val="auto"/>
              </w:rPr>
            </w:pPr>
            <w:r>
              <w:rPr>
                <w:rFonts w:ascii="Arial" w:cs="Arial" w:eastAsia="Arial" w:hAnsi="Arial"/>
                <w:sz w:val="18"/>
                <w:szCs w:val="18"/>
                <w:color w:val="auto"/>
              </w:rPr>
              <w:t>(13,541)</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(63.0)</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33"/>
              <w:spacing w:after="0"/>
              <w:rPr>
                <w:sz w:val="20"/>
                <w:szCs w:val="20"/>
                <w:color w:val="auto"/>
              </w:rPr>
            </w:pPr>
            <w:r>
              <w:rPr>
                <w:rFonts w:ascii="Arial" w:cs="Arial" w:eastAsia="Arial" w:hAnsi="Arial"/>
                <w:sz w:val="18"/>
                <w:szCs w:val="18"/>
                <w:color w:val="auto"/>
              </w:rPr>
              <w:t>(11,647)</w:t>
            </w:r>
          </w:p>
        </w:tc>
        <w:tc>
          <w:tcPr>
            <w:tcW w:w="28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3"/>
              <w:spacing w:after="0"/>
              <w:rPr>
                <w:sz w:val="20"/>
                <w:szCs w:val="20"/>
                <w:color w:val="auto"/>
              </w:rPr>
            </w:pPr>
            <w:r>
              <w:rPr>
                <w:rFonts w:ascii="Arial" w:cs="Arial" w:eastAsia="Arial" w:hAnsi="Arial"/>
                <w:sz w:val="18"/>
                <w:szCs w:val="18"/>
                <w:color w:val="auto"/>
              </w:rPr>
              <w:t>(26,504)</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(56.1)</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80" w:type="dxa"/>
            <w:vAlign w:val="bottom"/>
            <w:gridSpan w:val="2"/>
          </w:tcPr>
          <w:p>
            <w:pPr>
              <w:ind w:left="180"/>
              <w:spacing w:after="0"/>
              <w:rPr>
                <w:sz w:val="20"/>
                <w:szCs w:val="20"/>
                <w:color w:val="auto"/>
              </w:rPr>
            </w:pPr>
            <w:r>
              <w:rPr>
                <w:rFonts w:ascii="Arial" w:cs="Arial" w:eastAsia="Arial" w:hAnsi="Arial"/>
                <w:sz w:val="18"/>
                <w:szCs w:val="18"/>
                <w:color w:val="auto"/>
              </w:rPr>
              <w:t>loss(1)</w:t>
            </w:r>
          </w:p>
        </w:tc>
        <w:tc>
          <w:tcPr>
            <w:tcW w:w="24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8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Non-GAAP Adjusted EBITDA</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93"/>
              <w:spacing w:after="0"/>
              <w:rPr>
                <w:sz w:val="20"/>
                <w:szCs w:val="20"/>
                <w:color w:val="auto"/>
              </w:rPr>
            </w:pPr>
            <w:r>
              <w:rPr>
                <w:rFonts w:ascii="Arial" w:cs="Arial" w:eastAsia="Arial" w:hAnsi="Arial"/>
                <w:sz w:val="18"/>
                <w:szCs w:val="18"/>
                <w:color w:val="auto"/>
              </w:rPr>
              <w:t>(17.7)%</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bps</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13"/>
              <w:spacing w:after="0"/>
              <w:rPr>
                <w:sz w:val="20"/>
                <w:szCs w:val="20"/>
                <w:color w:val="auto"/>
              </w:rPr>
            </w:pPr>
            <w:r>
              <w:rPr>
                <w:rFonts w:ascii="Arial" w:cs="Arial" w:eastAsia="Arial" w:hAnsi="Arial"/>
                <w:sz w:val="18"/>
                <w:szCs w:val="18"/>
                <w:color w:val="auto"/>
              </w:rPr>
              <w:t>(17.8)%</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bps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margin(1)</w:t>
            </w:r>
          </w:p>
        </w:tc>
        <w:tc>
          <w:tcPr>
            <w:tcW w:w="2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40" w:hanging="332"/>
        <w:spacing w:after="0" w:line="306"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Non-GAAP Adjusted EBITDA loss and Non-GAAP Adjusted EBITDA loss margin are non-GAAP measures which may not be comparable to similarly-titled measures used by other companies. See below for a reconciliation of Non-GAAP Adjusted EBITDA loss to net loss.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Active Buyers</w:t>
      </w:r>
    </w:p>
    <w:p>
      <w:pPr>
        <w:spacing w:after="0" w:line="1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An Active Buyer is a thredUP buyer who has made at least one purchase in the last twelve months. A thredUP buyer is a customer who has created an account and purchased in our marketplaces, including through our RaaS clients, and is identified by a unique email address. A single person could have multiple thredUP accounts and count as multiple Active Buyers. The number of Active Buyers is a key driver of revenue for our marketplaces.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Orders</w:t>
      </w:r>
    </w:p>
    <w:p>
      <w:pPr>
        <w:spacing w:after="0" w:line="12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Orders means the total number of orders placed by buyers across our marketplaces, including through our RaaS clients, in a given period, net of cancellations.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Metrics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Non-GAAP Adjusted EBITDA Loss and Non-GAAP Adjusted EBITDA Loss Margin</w:t>
      </w:r>
    </w:p>
    <w:p>
      <w:pPr>
        <w:spacing w:after="0" w:line="1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Non-GAAP Adjusted EBITDA loss means net loss adjusted to exclude, where applicable in a given period, interest expense, provision for income taxes, depreciation and amortization, stock-based compensation expense, acquisition-related expenses, and restructuring charges. Non-GAAP Adjusted EBITDA loss margin represents Non-GAAP Adjusted EBITDA loss divided by Total revenue. We use Non-GAAP Adjusted EBITDA loss and Non-GAAP Adjusted EBITDA loss margin, non-GAAP metrics, to evaluate and assess our operating performance and the operating leverage in our business, and for internal planning and forecasting purposes. We believe that Non-GAAP Adjusted EBITDA loss and Non-GAAP Adjusted EBITDA loss margin, when taken collectively with our GAAP results, may be helpful to investors because they provide consistency and comparability with past financial performance and assist in comparisons with other companies, some of which use similar non-GAAP financial information to supplement their GAAP results.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reconciliation of net loss to Non-GAAP Adjusted EBITDA loss: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379"/>
              <w:spacing w:after="0" w:line="14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ind w:left="40"/>
              <w:spacing w:after="0" w:line="143"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gridSpan w:val="2"/>
          </w:tcPr>
          <w:p>
            <w:pPr>
              <w:jc w:val="right"/>
              <w:ind w:right="470"/>
              <w:spacing w:after="0" w:line="143" w:lineRule="exact"/>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6"/>
          </w:tcPr>
          <w:p>
            <w:pPr>
              <w:jc w:val="right"/>
              <w:ind w:right="655"/>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(18,760)</w:t>
            </w: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(28,399)</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(38,553)</w:t>
            </w:r>
          </w:p>
        </w:tc>
        <w:tc>
          <w:tcPr>
            <w:tcW w:w="820" w:type="dxa"/>
            <w:vAlign w:val="bottom"/>
            <w:gridSpan w:val="3"/>
            <w:shd w:val="clear" w:color="auto" w:fill="CCEEFF"/>
          </w:tcPr>
          <w:p>
            <w:pPr>
              <w:jc w:val="center"/>
              <w:ind w:right="128"/>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(49,107)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39"/>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798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40" w:type="dxa"/>
            <w:vAlign w:val="bottom"/>
            <w:gridSpan w:val="3"/>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39"/>
              <w:spacing w:after="0"/>
              <w:rPr>
                <w:sz w:val="20"/>
                <w:szCs w:val="20"/>
                <w:color w:val="auto"/>
              </w:rPr>
            </w:pPr>
            <w:r>
              <w:rPr>
                <w:rFonts w:ascii="Arial" w:cs="Arial" w:eastAsia="Arial" w:hAnsi="Arial"/>
                <w:sz w:val="18"/>
                <w:szCs w:val="18"/>
                <w:color w:val="auto"/>
              </w:rPr>
              <w:t>4,836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3,407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4"/>
          </w:tcPr>
          <w:p>
            <w:pPr>
              <w:jc w:val="right"/>
              <w:ind w:right="80"/>
              <w:spacing w:after="0"/>
              <w:rPr>
                <w:sz w:val="20"/>
                <w:szCs w:val="20"/>
                <w:color w:val="auto"/>
              </w:rPr>
            </w:pPr>
            <w:r>
              <w:rPr>
                <w:rFonts w:ascii="Arial" w:cs="Arial" w:eastAsia="Arial" w:hAnsi="Arial"/>
                <w:sz w:val="18"/>
                <w:szCs w:val="18"/>
                <w:color w:val="auto"/>
              </w:rPr>
              <w:t>8,517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7,628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10,058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17,019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13,581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40" w:type="dxa"/>
            <w:vAlign w:val="bottom"/>
            <w:gridSpan w:val="3"/>
          </w:tcPr>
          <w:p>
            <w:pPr>
              <w:ind w:left="20"/>
              <w:spacing w:after="0"/>
              <w:rPr>
                <w:sz w:val="20"/>
                <w:szCs w:val="20"/>
                <w:color w:val="auto"/>
              </w:rPr>
            </w:pPr>
            <w:r>
              <w:rPr>
                <w:rFonts w:ascii="Arial" w:cs="Arial" w:eastAsia="Arial" w:hAnsi="Arial"/>
                <w:sz w:val="18"/>
                <w:szCs w:val="18"/>
                <w:color w:val="auto"/>
              </w:rPr>
              <w:t>Acquisition-related expenses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Severance and other</w:t>
            </w: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1,076</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551</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gridSpan w:val="3"/>
          </w:tcPr>
          <w:p>
            <w:pPr>
              <w:ind w:left="20"/>
              <w:spacing w:after="0"/>
              <w:rPr>
                <w:sz w:val="20"/>
                <w:szCs w:val="20"/>
                <w:color w:val="auto"/>
              </w:rPr>
            </w:pPr>
            <w:r>
              <w:rPr>
                <w:rFonts w:ascii="Arial" w:cs="Arial" w:eastAsia="Arial" w:hAnsi="Arial"/>
                <w:sz w:val="18"/>
                <w:szCs w:val="18"/>
                <w:color w:val="auto"/>
                <w:w w:val="99"/>
              </w:rPr>
              <w:t>Non-GAAP Adjusted EBITDA loss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(5,012)</w:t>
            </w: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(13,541)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(11,647)</w:t>
            </w:r>
          </w:p>
        </w:tc>
        <w:tc>
          <w:tcPr>
            <w:tcW w:w="820" w:type="dxa"/>
            <w:vAlign w:val="bottom"/>
            <w:gridSpan w:val="3"/>
          </w:tcPr>
          <w:p>
            <w:pPr>
              <w:jc w:val="center"/>
              <w:ind w:right="128"/>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(26,504)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82,658</w:t>
            </w: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76,421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3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158,580</w:t>
            </w:r>
          </w:p>
        </w:tc>
        <w:tc>
          <w:tcPr>
            <w:tcW w:w="820" w:type="dxa"/>
            <w:vAlign w:val="bottom"/>
            <w:gridSpan w:val="3"/>
            <w:shd w:val="clear" w:color="auto" w:fill="CCEEFF"/>
          </w:tcPr>
          <w:p>
            <w:pPr>
              <w:jc w:val="center"/>
              <w:ind w:right="128"/>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149,116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7"/>
          </w:tcPr>
          <w:p>
            <w:pPr>
              <w:ind w:left="20"/>
              <w:spacing w:after="0"/>
              <w:rPr>
                <w:sz w:val="20"/>
                <w:szCs w:val="20"/>
                <w:color w:val="auto"/>
              </w:rPr>
            </w:pPr>
            <w:r>
              <w:rPr>
                <w:rFonts w:ascii="Arial" w:cs="Arial" w:eastAsia="Arial" w:hAnsi="Arial"/>
                <w:sz w:val="18"/>
                <w:szCs w:val="18"/>
                <w:color w:val="auto"/>
              </w:rPr>
              <w:t>Non-GAAP Adjusted EBITDA loss margin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646"/>
        </w:trPr>
        <w:tc>
          <w:tcPr>
            <w:tcW w:w="6280" w:type="dxa"/>
            <w:vAlign w:val="bottom"/>
            <w:gridSpan w:val="15"/>
          </w:tcPr>
          <w:p>
            <w:pPr>
              <w:jc w:val="right"/>
              <w:ind w:right="120"/>
              <w:spacing w:after="0"/>
              <w:rPr>
                <w:sz w:val="20"/>
                <w:szCs w:val="20"/>
                <w:color w:val="auto"/>
              </w:rPr>
            </w:pPr>
            <w:r>
              <w:rPr>
                <w:rFonts w:ascii="Arial" w:cs="Arial" w:eastAsia="Arial" w:hAnsi="Arial"/>
                <w:sz w:val="18"/>
                <w:szCs w:val="18"/>
                <w:b w:val="1"/>
                <w:bCs w:val="1"/>
                <w:color w:val="auto"/>
                <w:w w:val="99"/>
              </w:rPr>
              <w:t>Comparison of the Three and Six Months Ended June 30, 2023 and 2022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Arial" w:cs="Arial" w:eastAsia="Arial" w:hAnsi="Arial"/>
                <w:sz w:val="18"/>
                <w:szCs w:val="18"/>
                <w:i w:val="1"/>
                <w:iCs w:val="1"/>
                <w:color w:val="auto"/>
              </w:rPr>
              <w:t>Revenue</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435"/>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217"/>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right"/>
              <w:ind w:right="639"/>
              <w:spacing w:after="0"/>
              <w:rPr>
                <w:sz w:val="20"/>
                <w:szCs w:val="20"/>
                <w:color w:val="auto"/>
              </w:rPr>
            </w:pPr>
            <w:r>
              <w:rPr>
                <w:rFonts w:ascii="Arial" w:cs="Arial" w:eastAsia="Arial" w:hAnsi="Arial"/>
                <w:sz w:val="14"/>
                <w:szCs w:val="14"/>
                <w:b w:val="1"/>
                <w:bCs w:val="1"/>
                <w:color w:val="auto"/>
              </w:rPr>
              <w:t>Amount</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ind w:left="180"/>
              <w:spacing w:after="0" w:line="143"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95"/>
              <w:spacing w:after="0" w:line="14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vMerge w:val="restart"/>
          </w:tcPr>
          <w:p>
            <w:pPr>
              <w:jc w:val="center"/>
              <w:ind w:right="88"/>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540" w:type="dxa"/>
            <w:vAlign w:val="bottom"/>
            <w:gridSpan w:val="9"/>
          </w:tcPr>
          <w:p>
            <w:pPr>
              <w:ind w:left="140"/>
              <w:spacing w:after="0"/>
              <w:rPr>
                <w:sz w:val="20"/>
                <w:szCs w:val="20"/>
                <w:color w:val="auto"/>
              </w:rPr>
            </w:pPr>
            <w:r>
              <w:rPr>
                <w:rFonts w:ascii="Arial" w:cs="Arial" w:eastAsia="Arial" w:hAnsi="Arial"/>
                <w:sz w:val="14"/>
                <w:szCs w:val="14"/>
                <w:i w:val="1"/>
                <w:iCs w:val="1"/>
                <w:color w:val="auto"/>
              </w:rPr>
              <w:t>(in thousands, except percentages)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Consignment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7"/>
              <w:spacing w:after="0"/>
              <w:rPr>
                <w:sz w:val="20"/>
                <w:szCs w:val="20"/>
                <w:color w:val="auto"/>
              </w:rPr>
            </w:pPr>
            <w:r>
              <w:rPr>
                <w:rFonts w:ascii="Arial" w:cs="Arial" w:eastAsia="Arial" w:hAnsi="Arial"/>
                <w:sz w:val="18"/>
                <w:szCs w:val="18"/>
                <w:color w:val="auto"/>
              </w:rPr>
              <w:t>53,415</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rPr>
              <w:t>48,536</w:t>
            </w:r>
          </w:p>
        </w:tc>
        <w:tc>
          <w:tcPr>
            <w:tcW w:w="20" w:type="dxa"/>
            <w:vAlign w:val="bottom"/>
            <w:shd w:val="clear" w:color="auto" w:fill="CCEEFF"/>
          </w:tcPr>
          <w:p>
            <w:pPr>
              <w:spacing w:after="0"/>
              <w:rPr>
                <w:sz w:val="15"/>
                <w:szCs w:val="15"/>
                <w:color w:val="auto"/>
              </w:rPr>
            </w:pP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500" w:type="dxa"/>
            <w:vAlign w:val="bottom"/>
            <w:shd w:val="clear" w:color="auto" w:fill="CCEEFF"/>
          </w:tcPr>
          <w:p>
            <w:pPr>
              <w:spacing w:after="0"/>
              <w:rPr>
                <w:sz w:val="15"/>
                <w:szCs w:val="15"/>
                <w:color w:val="auto"/>
              </w:rPr>
            </w:pPr>
          </w:p>
        </w:tc>
        <w:tc>
          <w:tcPr>
            <w:tcW w:w="6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10.1 %</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99,894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95,971</w:t>
            </w:r>
          </w:p>
        </w:tc>
        <w:tc>
          <w:tcPr>
            <w:tcW w:w="4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gridSpan w:val="3"/>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440" w:type="dxa"/>
            <w:vAlign w:val="bottom"/>
            <w:gridSpan w:val="3"/>
            <w:vMerge w:val="continue"/>
            <w:shd w:val="clear" w:color="auto" w:fill="CCEEFF"/>
          </w:tcPr>
          <w:p>
            <w:pPr>
              <w:spacing w:after="0"/>
              <w:rPr>
                <w:sz w:val="19"/>
                <w:szCs w:val="19"/>
                <w:color w:val="auto"/>
              </w:rPr>
            </w:pPr>
          </w:p>
        </w:tc>
        <w:tc>
          <w:tcPr>
            <w:tcW w:w="820" w:type="dxa"/>
            <w:vAlign w:val="bottom"/>
            <w:gridSpan w:val="3"/>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 revenue</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29,243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27,885</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5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4.9 %</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58,686</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53,145</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5,541</w:t>
            </w: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82,658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76,421</w:t>
            </w:r>
          </w:p>
        </w:tc>
        <w:tc>
          <w:tcPr>
            <w:tcW w:w="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50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158,580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149,116</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9,464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Consignment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tcPr>
          <w:p>
            <w:pPr>
              <w:ind w:left="180"/>
              <w:spacing w:after="0" w:line="189" w:lineRule="exact"/>
              <w:rPr>
                <w:sz w:val="20"/>
                <w:szCs w:val="20"/>
                <w:color w:val="auto"/>
              </w:rPr>
            </w:pPr>
            <w:r>
              <w:rPr>
                <w:rFonts w:ascii="Arial" w:cs="Arial" w:eastAsia="Arial" w:hAnsi="Arial"/>
                <w:sz w:val="18"/>
                <w:szCs w:val="18"/>
                <w:color w:val="auto"/>
              </w:rPr>
              <w:t>revenue as a</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60" w:type="dxa"/>
            <w:vAlign w:val="bottom"/>
          </w:tcPr>
          <w:p>
            <w:pPr>
              <w:ind w:left="180"/>
              <w:spacing w:after="0" w:line="176" w:lineRule="exact"/>
              <w:rPr>
                <w:sz w:val="20"/>
                <w:szCs w:val="20"/>
                <w:color w:val="auto"/>
              </w:rPr>
            </w:pPr>
            <w:r>
              <w:rPr>
                <w:rFonts w:ascii="Arial" w:cs="Arial" w:eastAsia="Arial" w:hAnsi="Arial"/>
                <w:sz w:val="18"/>
                <w:szCs w:val="18"/>
                <w:color w:val="auto"/>
              </w:rPr>
              <w:t>percentage of</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64.6 %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63.5 %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63.0 %</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64.4 %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6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Product revenue</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as a</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percentage of</w:t>
            </w: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35.4 %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36.5 %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37.0 %</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35.6 %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Total revenue increased $6.2 million, or 8.2%, for the three months ended June 30, 2023 as compared to the same period in 2022. The increase in revenue for the three months ended June 30, 2023 as compared to the same period in 2022 was primarily due to a $4.9 million increase in consignment revenue due to the mix shift between consignment and product revenue primarily in the United States and a $1.4 million increase in product revenue as our European operations continue to scale and grow.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Total revenue increased $9.5 million, or 6.3%, for the six months ended June 30, 2023 as compared to the same period in 2022. The increase in revenue for the six months ended June 30, 2023 as compared to the same period in 2022 was primarily due to a $5.5 million increase in product revenue as our European operations continue to scale and grow and a $3.9 million increase in consignment revenue due to the mix shift described previously.</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of Revenue</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1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217"/>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235"/>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257"/>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275"/>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500" w:type="dxa"/>
            <w:vAlign w:val="bottom"/>
            <w:gridSpan w:val="5"/>
          </w:tcPr>
          <w:p>
            <w:pPr>
              <w:jc w:val="right"/>
              <w:ind w:right="17"/>
              <w:spacing w:after="0"/>
              <w:rPr>
                <w:sz w:val="20"/>
                <w:szCs w:val="20"/>
                <w:color w:val="auto"/>
              </w:rPr>
            </w:pPr>
            <w:r>
              <w:rPr>
                <w:rFonts w:ascii="Arial" w:cs="Arial" w:eastAsia="Arial" w:hAnsi="Arial"/>
                <w:sz w:val="14"/>
                <w:szCs w:val="14"/>
                <w:i w:val="1"/>
                <w:iCs w:val="1"/>
                <w:color w:val="auto"/>
              </w:rPr>
              <w:t>(in thousands, except percentages)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5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Cost of</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consignment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7"/>
              <w:spacing w:after="0"/>
              <w:rPr>
                <w:sz w:val="20"/>
                <w:szCs w:val="20"/>
                <w:color w:val="auto"/>
              </w:rPr>
            </w:pPr>
            <w:r>
              <w:rPr>
                <w:rFonts w:ascii="Arial" w:cs="Arial" w:eastAsia="Arial" w:hAnsi="Arial"/>
                <w:sz w:val="18"/>
                <w:szCs w:val="18"/>
                <w:color w:val="auto"/>
              </w:rPr>
              <w:t>9,580</w:t>
            </w:r>
          </w:p>
        </w:tc>
        <w:tc>
          <w:tcPr>
            <w:tcW w:w="32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10,218</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4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37"/>
              <w:spacing w:after="0"/>
              <w:rPr>
                <w:sz w:val="20"/>
                <w:szCs w:val="20"/>
                <w:color w:val="auto"/>
              </w:rPr>
            </w:pPr>
            <w:r>
              <w:rPr>
                <w:rFonts w:ascii="Arial" w:cs="Arial" w:eastAsia="Arial" w:hAnsi="Arial"/>
                <w:sz w:val="18"/>
                <w:szCs w:val="18"/>
                <w:color w:val="auto"/>
              </w:rPr>
              <w:t>18,800</w:t>
            </w:r>
          </w:p>
        </w:tc>
        <w:tc>
          <w:tcPr>
            <w:tcW w:w="3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20,267</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center"/>
              <w:ind w:left="136"/>
              <w:spacing w:after="0"/>
              <w:rPr>
                <w:sz w:val="20"/>
                <w:szCs w:val="20"/>
                <w:color w:val="auto"/>
              </w:rPr>
            </w:pPr>
            <w:r>
              <w:rPr>
                <w:rFonts w:ascii="Arial" w:cs="Arial" w:eastAsia="Arial" w:hAnsi="Arial"/>
                <w:sz w:val="18"/>
                <w:szCs w:val="18"/>
                <w:color w:val="auto"/>
                <w:w w:val="98"/>
              </w:rPr>
              <w:t>(1,467)</w:t>
            </w:r>
          </w:p>
        </w:tc>
        <w:tc>
          <w:tcPr>
            <w:tcW w:w="4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2"/>
        </w:trPr>
        <w:tc>
          <w:tcPr>
            <w:tcW w:w="1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2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260" w:type="dxa"/>
            <w:vAlign w:val="bottom"/>
            <w:gridSpan w:val="2"/>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300" w:type="dxa"/>
            <w:vAlign w:val="bottom"/>
            <w:gridSpan w:val="2"/>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60" w:type="dxa"/>
            <w:vAlign w:val="bottom"/>
            <w:gridSpan w:val="2"/>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540" w:type="dxa"/>
            <w:vAlign w:val="bottom"/>
          </w:tcPr>
          <w:p>
            <w:pPr>
              <w:ind w:left="20"/>
              <w:spacing w:after="0" w:line="176" w:lineRule="exact"/>
              <w:rPr>
                <w:sz w:val="20"/>
                <w:szCs w:val="20"/>
                <w:color w:val="auto"/>
              </w:rPr>
            </w:pPr>
            <w:r>
              <w:rPr>
                <w:rFonts w:ascii="Arial" w:cs="Arial" w:eastAsia="Arial" w:hAnsi="Arial"/>
                <w:sz w:val="18"/>
                <w:szCs w:val="18"/>
                <w:color w:val="auto"/>
              </w:rPr>
              <w:t>Cost of product</w:t>
            </w:r>
          </w:p>
        </w:tc>
        <w:tc>
          <w:tcPr>
            <w:tcW w:w="220" w:type="dxa"/>
            <w:vAlign w:val="bottom"/>
          </w:tcPr>
          <w:p>
            <w:pPr>
              <w:spacing w:after="0"/>
              <w:rPr>
                <w:sz w:val="15"/>
                <w:szCs w:val="15"/>
                <w:color w:val="auto"/>
              </w:rPr>
            </w:pPr>
          </w:p>
        </w:tc>
        <w:tc>
          <w:tcPr>
            <w:tcW w:w="960" w:type="dxa"/>
            <w:vAlign w:val="bottom"/>
            <w:vMerge w:val="restart"/>
          </w:tcPr>
          <w:p>
            <w:pPr>
              <w:jc w:val="right"/>
              <w:ind w:right="137"/>
              <w:spacing w:after="0"/>
              <w:rPr>
                <w:sz w:val="20"/>
                <w:szCs w:val="20"/>
                <w:color w:val="auto"/>
              </w:rPr>
            </w:pPr>
            <w:r>
              <w:rPr>
                <w:rFonts w:ascii="Arial" w:cs="Arial" w:eastAsia="Arial" w:hAnsi="Arial"/>
                <w:sz w:val="18"/>
                <w:szCs w:val="18"/>
                <w:color w:val="auto"/>
              </w:rPr>
              <w:t>17,346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ind w:right="155"/>
              <w:spacing w:after="0"/>
              <w:rPr>
                <w:sz w:val="20"/>
                <w:szCs w:val="20"/>
                <w:color w:val="auto"/>
              </w:rPr>
            </w:pPr>
            <w:r>
              <w:rPr>
                <w:rFonts w:ascii="Arial" w:cs="Arial" w:eastAsia="Arial" w:hAnsi="Arial"/>
                <w:sz w:val="18"/>
                <w:szCs w:val="18"/>
                <w:color w:val="auto"/>
              </w:rPr>
              <w:t>13,555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3,791</w:t>
            </w:r>
          </w:p>
        </w:tc>
        <w:tc>
          <w:tcPr>
            <w:tcW w:w="4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28.0 %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137"/>
              <w:spacing w:after="0"/>
              <w:rPr>
                <w:sz w:val="20"/>
                <w:szCs w:val="20"/>
                <w:color w:val="auto"/>
              </w:rPr>
            </w:pPr>
            <w:r>
              <w:rPr>
                <w:rFonts w:ascii="Arial" w:cs="Arial" w:eastAsia="Arial" w:hAnsi="Arial"/>
                <w:sz w:val="18"/>
                <w:szCs w:val="18"/>
                <w:color w:val="auto"/>
              </w:rPr>
              <w:t>32,955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ind w:right="155"/>
              <w:spacing w:after="0"/>
              <w:rPr>
                <w:sz w:val="20"/>
                <w:szCs w:val="20"/>
                <w:color w:val="auto"/>
              </w:rPr>
            </w:pPr>
            <w:r>
              <w:rPr>
                <w:rFonts w:ascii="Arial" w:cs="Arial" w:eastAsia="Arial" w:hAnsi="Arial"/>
                <w:sz w:val="18"/>
                <w:szCs w:val="18"/>
                <w:color w:val="auto"/>
              </w:rPr>
              <w:t>25,973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center"/>
              <w:ind w:left="156"/>
              <w:spacing w:after="0"/>
              <w:rPr>
                <w:sz w:val="20"/>
                <w:szCs w:val="20"/>
                <w:color w:val="auto"/>
              </w:rPr>
            </w:pPr>
            <w:r>
              <w:rPr>
                <w:rFonts w:ascii="Arial" w:cs="Arial" w:eastAsia="Arial" w:hAnsi="Arial"/>
                <w:sz w:val="18"/>
                <w:szCs w:val="18"/>
                <w:color w:val="auto"/>
              </w:rPr>
              <w:t>6,982</w:t>
            </w:r>
          </w:p>
        </w:tc>
        <w:tc>
          <w:tcPr>
            <w:tcW w:w="4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29"/>
        </w:trPr>
        <w:tc>
          <w:tcPr>
            <w:tcW w:w="1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54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Total cost of</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7"/>
              <w:spacing w:after="0"/>
              <w:rPr>
                <w:sz w:val="20"/>
                <w:szCs w:val="20"/>
                <w:color w:val="auto"/>
              </w:rPr>
            </w:pPr>
            <w:r>
              <w:rPr>
                <w:rFonts w:ascii="Arial" w:cs="Arial" w:eastAsia="Arial" w:hAnsi="Arial"/>
                <w:sz w:val="18"/>
                <w:szCs w:val="18"/>
                <w:color w:val="auto"/>
              </w:rPr>
              <w:t>26,926</w:t>
            </w:r>
          </w:p>
        </w:tc>
        <w:tc>
          <w:tcPr>
            <w:tcW w:w="100" w:type="dxa"/>
            <w:vAlign w:val="bottom"/>
            <w:vMerge w:val="restart"/>
            <w:shd w:val="clear" w:color="auto" w:fill="CCEEFF"/>
          </w:tcPr>
          <w:p>
            <w:pPr>
              <w:spacing w:after="0"/>
              <w:rPr>
                <w:sz w:val="14"/>
                <w:szCs w:val="14"/>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23,773</w:t>
            </w:r>
          </w:p>
        </w:tc>
        <w:tc>
          <w:tcPr>
            <w:tcW w:w="80" w:type="dxa"/>
            <w:vAlign w:val="bottom"/>
            <w:vMerge w:val="restart"/>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vMerge w:val="restart"/>
            <w:shd w:val="clear" w:color="auto" w:fill="CCEEFF"/>
          </w:tcPr>
          <w:p>
            <w:pPr>
              <w:spacing w:after="0"/>
              <w:rPr>
                <w:sz w:val="14"/>
                <w:szCs w:val="14"/>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37"/>
              <w:spacing w:after="0"/>
              <w:rPr>
                <w:sz w:val="20"/>
                <w:szCs w:val="20"/>
                <w:color w:val="auto"/>
              </w:rPr>
            </w:pPr>
            <w:r>
              <w:rPr>
                <w:rFonts w:ascii="Arial" w:cs="Arial" w:eastAsia="Arial" w:hAnsi="Arial"/>
                <w:sz w:val="18"/>
                <w:szCs w:val="18"/>
                <w:color w:val="auto"/>
              </w:rPr>
              <w:t>51,755</w:t>
            </w:r>
          </w:p>
        </w:tc>
        <w:tc>
          <w:tcPr>
            <w:tcW w:w="80" w:type="dxa"/>
            <w:vAlign w:val="bottom"/>
            <w:vMerge w:val="restart"/>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46,240</w:t>
            </w:r>
          </w:p>
        </w:tc>
        <w:tc>
          <w:tcPr>
            <w:tcW w:w="80" w:type="dxa"/>
            <w:vAlign w:val="bottom"/>
            <w:vMerge w:val="restart"/>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center"/>
              <w:ind w:left="156"/>
              <w:spacing w:after="0"/>
              <w:rPr>
                <w:sz w:val="20"/>
                <w:szCs w:val="20"/>
                <w:color w:val="auto"/>
              </w:rPr>
            </w:pPr>
            <w:r>
              <w:rPr>
                <w:rFonts w:ascii="Arial" w:cs="Arial" w:eastAsia="Arial" w:hAnsi="Arial"/>
                <w:sz w:val="18"/>
                <w:szCs w:val="18"/>
                <w:color w:val="auto"/>
              </w:rPr>
              <w:t>5,515</w:t>
            </w: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54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13.3 %</w:t>
            </w: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0"/>
        </w:trPr>
        <w:tc>
          <w:tcPr>
            <w:tcW w:w="1540" w:type="dxa"/>
            <w:vAlign w:val="bottom"/>
            <w:vMerge w:val="restart"/>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5.9 %</w:t>
            </w: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line="20" w:lineRule="exact"/>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7"/>
              <w:spacing w:after="0" w:line="203" w:lineRule="exact"/>
              <w:rPr>
                <w:sz w:val="20"/>
                <w:szCs w:val="20"/>
                <w:color w:val="auto"/>
              </w:rPr>
            </w:pPr>
            <w:r>
              <w:rPr>
                <w:rFonts w:ascii="Arial" w:cs="Arial" w:eastAsia="Arial" w:hAnsi="Arial"/>
                <w:sz w:val="18"/>
                <w:szCs w:val="18"/>
                <w:color w:val="auto"/>
              </w:rPr>
              <w:t>55,732</w:t>
            </w:r>
          </w:p>
        </w:tc>
        <w:tc>
          <w:tcPr>
            <w:tcW w:w="32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55"/>
              <w:spacing w:after="0" w:line="203" w:lineRule="exact"/>
              <w:rPr>
                <w:sz w:val="20"/>
                <w:szCs w:val="20"/>
                <w:color w:val="auto"/>
              </w:rPr>
            </w:pPr>
            <w:r>
              <w:rPr>
                <w:rFonts w:ascii="Arial" w:cs="Arial" w:eastAsia="Arial" w:hAnsi="Arial"/>
                <w:sz w:val="18"/>
                <w:szCs w:val="18"/>
                <w:color w:val="auto"/>
              </w:rPr>
              <w:t>52,648</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3,084</w:t>
            </w:r>
          </w:p>
        </w:tc>
        <w:tc>
          <w:tcPr>
            <w:tcW w:w="4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0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37"/>
              <w:spacing w:after="0" w:line="203" w:lineRule="exact"/>
              <w:rPr>
                <w:sz w:val="20"/>
                <w:szCs w:val="20"/>
                <w:color w:val="auto"/>
              </w:rPr>
            </w:pPr>
            <w:r>
              <w:rPr>
                <w:rFonts w:ascii="Arial" w:cs="Arial" w:eastAsia="Arial" w:hAnsi="Arial"/>
                <w:sz w:val="18"/>
                <w:szCs w:val="18"/>
                <w:color w:val="auto"/>
              </w:rPr>
              <w:t>106,825</w:t>
            </w:r>
          </w:p>
        </w:tc>
        <w:tc>
          <w:tcPr>
            <w:tcW w:w="32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55"/>
              <w:spacing w:after="0" w:line="203" w:lineRule="exact"/>
              <w:rPr>
                <w:sz w:val="20"/>
                <w:szCs w:val="20"/>
                <w:color w:val="auto"/>
              </w:rPr>
            </w:pPr>
            <w:r>
              <w:rPr>
                <w:rFonts w:ascii="Arial" w:cs="Arial" w:eastAsia="Arial" w:hAnsi="Arial"/>
                <w:sz w:val="18"/>
                <w:szCs w:val="18"/>
                <w:color w:val="auto"/>
              </w:rPr>
              <w:t>102,876</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center"/>
              <w:ind w:left="156"/>
              <w:spacing w:after="0" w:line="203" w:lineRule="exact"/>
              <w:rPr>
                <w:sz w:val="20"/>
                <w:szCs w:val="20"/>
                <w:color w:val="auto"/>
              </w:rPr>
            </w:pPr>
            <w:r>
              <w:rPr>
                <w:rFonts w:ascii="Arial" w:cs="Arial" w:eastAsia="Arial" w:hAnsi="Arial"/>
                <w:sz w:val="18"/>
                <w:szCs w:val="18"/>
                <w:color w:val="auto"/>
              </w:rPr>
              <w:t>3,949</w:t>
            </w:r>
          </w:p>
        </w:tc>
        <w:tc>
          <w:tcPr>
            <w:tcW w:w="4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67.4 %</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8"/>
          <w:szCs w:val="18"/>
          <w:color w:val="auto"/>
        </w:rPr>
        <w:t>Gross margin was 67.4% and 68.9% for the three months ended June 30, 2023 and 2022, respectively, or a decrease of 150 basis points, and 67.4% and 69.0% for the six months ended June 30, 2023 and 2022, respectively, or a decrease of 160 basis points.</w:t>
      </w:r>
    </w:p>
    <w:p>
      <w:pPr>
        <w:spacing w:after="0" w:line="14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Consignment revenue is recognized net of seller payouts and cost of items sold, whereas for product revenue, seller payouts and cost of items sold are included as a component of cost of revenue. As such, product revenue has a lower gross margin than consignment revenue.</w:t>
      </w:r>
    </w:p>
    <w:p>
      <w:pPr>
        <w:spacing w:after="0" w:line="1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decrease in gross margin for the three months ended June 30, 2023 as compared to the same period in 2022 was primarily due to higher inventory costs, partially offset by lower labor and outbound shipping costs in cost of consignment revenue and an increase in consignment revenue as a percentage of total revenue.</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decrease in gross margin for the six months ended June 30, 2023 as compared to the same period in 2022 was primarily due to an increase in product revenue as a percentage of total revenue and higher inventory costs, partially offset by lower labor and outbound shipping costs in cost of consignment revenue.</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of Consignment Revenue</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261"/>
              <w:spacing w:after="0" w:line="14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980" w:type="dxa"/>
            <w:vAlign w:val="bottom"/>
          </w:tcPr>
          <w:p>
            <w:pPr>
              <w:jc w:val="right"/>
              <w:ind w:right="219"/>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right"/>
              <w:ind w:right="604"/>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81"/>
              <w:spacing w:after="0" w:line="14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980" w:type="dxa"/>
            <w:vAlign w:val="bottom"/>
          </w:tcPr>
          <w:p>
            <w:pPr>
              <w:jc w:val="right"/>
              <w:ind w:right="219"/>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1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40" w:type="dxa"/>
            <w:vAlign w:val="bottom"/>
            <w:gridSpan w:val="5"/>
          </w:tcPr>
          <w:p>
            <w:pPr>
              <w:jc w:val="right"/>
              <w:ind w:right="41"/>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Cost of</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consignment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81"/>
              <w:spacing w:after="0"/>
              <w:rPr>
                <w:sz w:val="20"/>
                <w:szCs w:val="20"/>
                <w:color w:val="auto"/>
              </w:rPr>
            </w:pPr>
            <w:r>
              <w:rPr>
                <w:rFonts w:ascii="Arial" w:cs="Arial" w:eastAsia="Arial" w:hAnsi="Arial"/>
                <w:sz w:val="18"/>
                <w:szCs w:val="18"/>
                <w:color w:val="auto"/>
              </w:rPr>
              <w:t>9,580</w:t>
            </w: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10,218</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ind w:right="404"/>
              <w:spacing w:after="0"/>
              <w:rPr>
                <w:sz w:val="20"/>
                <w:szCs w:val="20"/>
                <w:color w:val="auto"/>
              </w:rPr>
            </w:pPr>
            <w:r>
              <w:rPr>
                <w:rFonts w:ascii="Arial" w:cs="Arial" w:eastAsia="Arial" w:hAnsi="Arial"/>
                <w:sz w:val="18"/>
                <w:szCs w:val="18"/>
                <w:color w:val="auto"/>
              </w:rPr>
              <w:t>(638)</w:t>
            </w:r>
          </w:p>
        </w:tc>
        <w:tc>
          <w:tcPr>
            <w:tcW w:w="10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(6.2)%  $</w:t>
            </w:r>
          </w:p>
        </w:tc>
        <w:tc>
          <w:tcPr>
            <w:tcW w:w="1020" w:type="dxa"/>
            <w:vAlign w:val="bottom"/>
            <w:vMerge w:val="restart"/>
            <w:shd w:val="clear" w:color="auto" w:fill="CCEEFF"/>
          </w:tcPr>
          <w:p>
            <w:pPr>
              <w:jc w:val="right"/>
              <w:ind w:right="181"/>
              <w:spacing w:after="0"/>
              <w:rPr>
                <w:sz w:val="20"/>
                <w:szCs w:val="20"/>
                <w:color w:val="auto"/>
              </w:rPr>
            </w:pPr>
            <w:r>
              <w:rPr>
                <w:rFonts w:ascii="Arial" w:cs="Arial" w:eastAsia="Arial" w:hAnsi="Arial"/>
                <w:sz w:val="18"/>
                <w:szCs w:val="18"/>
                <w:color w:val="auto"/>
              </w:rPr>
              <w:t>18,800</w:t>
            </w: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20,267</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422"/>
              <w:spacing w:after="0"/>
              <w:rPr>
                <w:sz w:val="20"/>
                <w:szCs w:val="20"/>
                <w:color w:val="auto"/>
              </w:rPr>
            </w:pPr>
            <w:r>
              <w:rPr>
                <w:rFonts w:ascii="Arial" w:cs="Arial" w:eastAsia="Arial" w:hAnsi="Arial"/>
                <w:sz w:val="18"/>
                <w:szCs w:val="18"/>
                <w:color w:val="auto"/>
              </w:rPr>
              <w:t>(1,467)</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560" w:type="dxa"/>
            <w:vAlign w:val="bottom"/>
          </w:tcPr>
          <w:p>
            <w:pPr>
              <w:ind w:left="20"/>
              <w:spacing w:after="0" w:line="189" w:lineRule="exact"/>
              <w:rPr>
                <w:sz w:val="20"/>
                <w:szCs w:val="20"/>
                <w:color w:val="auto"/>
              </w:rPr>
            </w:pPr>
            <w:r>
              <w:rPr>
                <w:rFonts w:ascii="Arial" w:cs="Arial" w:eastAsia="Arial" w:hAnsi="Arial"/>
                <w:sz w:val="18"/>
                <w:szCs w:val="18"/>
                <w:color w:val="auto"/>
              </w:rPr>
              <w:t>Consignment</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56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82.1 %</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81.2 %</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firstLine="324"/>
        <w:spacing w:after="0" w:line="322" w:lineRule="auto"/>
        <w:rPr>
          <w:sz w:val="20"/>
          <w:szCs w:val="20"/>
          <w:color w:val="auto"/>
        </w:rPr>
      </w:pPr>
      <w:r>
        <w:rPr>
          <w:rFonts w:ascii="Arial" w:cs="Arial" w:eastAsia="Arial" w:hAnsi="Arial"/>
          <w:sz w:val="18"/>
          <w:szCs w:val="18"/>
          <w:color w:val="auto"/>
        </w:rPr>
        <w:t>Consignment gross margin was 82.1% and 78.9% for the three months ended June 30, 2023 and 2022, respectively, or an increase of 320 basis points, and 81.2% and 78.9% for the six months ended June 30, 2023 and 2022, respectively, or an increase of 230 basis points.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increase in consignment gross margin for the three months ended June 30, 2023 as compared to the same period in 2022 was primarily due to 160 basis points of lower outbound shipping costs, 110 basis points of lower direct labor costs and 50 basis points of lower scrap and packaging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increase in consignment gross margin for the six months ended June 30, 2023 as compared to the same period in 2022 was primarily due to 110 basis points of lower direct labor costs, 100 basis points of lower outbound shipping costs and 15 basis points of lower scrap costs.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of Product Revenue</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1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61"/>
              <w:spacing w:after="0" w:line="14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000" w:type="dxa"/>
            <w:vAlign w:val="bottom"/>
          </w:tcPr>
          <w:p>
            <w:pPr>
              <w:jc w:val="right"/>
              <w:ind w:right="239"/>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ind w:right="644"/>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81"/>
              <w:spacing w:after="0" w:line="14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000" w:type="dxa"/>
            <w:vAlign w:val="bottom"/>
          </w:tcPr>
          <w:p>
            <w:pPr>
              <w:jc w:val="right"/>
              <w:ind w:right="239"/>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80" w:type="dxa"/>
            <w:vAlign w:val="bottom"/>
            <w:gridSpan w:val="5"/>
          </w:tcPr>
          <w:p>
            <w:pPr>
              <w:jc w:val="right"/>
              <w:ind w:right="81"/>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5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Cost of product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81"/>
              <w:spacing w:after="0"/>
              <w:rPr>
                <w:sz w:val="20"/>
                <w:szCs w:val="20"/>
                <w:color w:val="auto"/>
              </w:rPr>
            </w:pPr>
            <w:r>
              <w:rPr>
                <w:rFonts w:ascii="Arial" w:cs="Arial" w:eastAsia="Arial" w:hAnsi="Arial"/>
                <w:sz w:val="18"/>
                <w:szCs w:val="18"/>
                <w:color w:val="auto"/>
              </w:rPr>
              <w:t>17,346</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rPr>
              <w:t>13,555</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484"/>
              <w:spacing w:after="0"/>
              <w:rPr>
                <w:sz w:val="20"/>
                <w:szCs w:val="20"/>
                <w:color w:val="auto"/>
              </w:rPr>
            </w:pPr>
            <w:r>
              <w:rPr>
                <w:rFonts w:ascii="Arial" w:cs="Arial" w:eastAsia="Arial" w:hAnsi="Arial"/>
                <w:sz w:val="18"/>
                <w:szCs w:val="18"/>
                <w:color w:val="auto"/>
              </w:rPr>
              <w:t>3,791</w:t>
            </w:r>
          </w:p>
        </w:tc>
        <w:tc>
          <w:tcPr>
            <w:tcW w:w="10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28.0 %  $</w:t>
            </w:r>
          </w:p>
        </w:tc>
        <w:tc>
          <w:tcPr>
            <w:tcW w:w="1020" w:type="dxa"/>
            <w:vAlign w:val="bottom"/>
            <w:vMerge w:val="restart"/>
            <w:shd w:val="clear" w:color="auto" w:fill="CCEEFF"/>
          </w:tcPr>
          <w:p>
            <w:pPr>
              <w:jc w:val="right"/>
              <w:ind w:right="181"/>
              <w:spacing w:after="0"/>
              <w:rPr>
                <w:sz w:val="20"/>
                <w:szCs w:val="20"/>
                <w:color w:val="auto"/>
              </w:rPr>
            </w:pPr>
            <w:r>
              <w:rPr>
                <w:rFonts w:ascii="Arial" w:cs="Arial" w:eastAsia="Arial" w:hAnsi="Arial"/>
                <w:sz w:val="18"/>
                <w:szCs w:val="18"/>
                <w:color w:val="auto"/>
              </w:rPr>
              <w:t>32,955</w:t>
            </w: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rPr>
              <w:t>25,973</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482"/>
              <w:spacing w:after="0"/>
              <w:rPr>
                <w:sz w:val="20"/>
                <w:szCs w:val="20"/>
                <w:color w:val="auto"/>
              </w:rPr>
            </w:pPr>
            <w:r>
              <w:rPr>
                <w:rFonts w:ascii="Arial" w:cs="Arial" w:eastAsia="Arial" w:hAnsi="Arial"/>
                <w:sz w:val="18"/>
                <w:szCs w:val="18"/>
                <w:color w:val="auto"/>
              </w:rPr>
              <w:t>6,982</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500" w:type="dxa"/>
            <w:vAlign w:val="bottom"/>
          </w:tcPr>
          <w:p>
            <w:pPr>
              <w:ind w:left="20"/>
              <w:spacing w:after="0" w:line="189" w:lineRule="exact"/>
              <w:rPr>
                <w:sz w:val="20"/>
                <w:szCs w:val="20"/>
                <w:color w:val="auto"/>
              </w:rPr>
            </w:pPr>
            <w:r>
              <w:rPr>
                <w:rFonts w:ascii="Arial" w:cs="Arial" w:eastAsia="Arial" w:hAnsi="Arial"/>
                <w:sz w:val="18"/>
                <w:szCs w:val="18"/>
                <w:color w:val="auto"/>
              </w:rPr>
              <w:t>Product gross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500" w:type="dxa"/>
            <w:vAlign w:val="bottom"/>
          </w:tcPr>
          <w:p>
            <w:pPr>
              <w:ind w:left="180"/>
              <w:spacing w:after="0"/>
              <w:rPr>
                <w:sz w:val="20"/>
                <w:szCs w:val="20"/>
                <w:color w:val="auto"/>
              </w:rPr>
            </w:pPr>
            <w:r>
              <w:rPr>
                <w:rFonts w:ascii="Arial" w:cs="Arial" w:eastAsia="Arial" w:hAnsi="Arial"/>
                <w:sz w:val="18"/>
                <w:szCs w:val="18"/>
                <w:color w:val="auto"/>
              </w:rPr>
              <w:t>margin</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40.7 %</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51.4 %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43.8 %</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51.1 %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8"/>
          <w:szCs w:val="18"/>
          <w:color w:val="auto"/>
        </w:rPr>
        <w:t>Product gross margin was 40.7% and 51.4% for the three months ended June 30, 2023 and 2022, respectively, or a decrease of 1,070 basis points, and 43.8% and 51.1% for the six months ended June 30, 2023 and 2022, respectively, or a decrease of 730 basis points.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decrease in product gross margin for the three months ended June 30, 2023 as compared to the same period in 2022 was primarily due to 750 basis points increase related to growth of our European operations as a percentage of product revenue and 280 basis points due to higher payouts.</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The decrease in product gross margin for the six months ended June 30, 2023 as compared to the same period in 2022 was primarily due to 700 basis points of higher inventory costs.</w:t>
      </w:r>
    </w:p>
    <w:p>
      <w:pPr>
        <w:spacing w:after="0" w:line="2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Operations, Product, and Technology</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1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81"/>
              <w:spacing w:after="0" w:line="14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960" w:type="dxa"/>
            <w:vAlign w:val="bottom"/>
          </w:tcPr>
          <w:p>
            <w:pPr>
              <w:jc w:val="right"/>
              <w:ind w:right="219"/>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ind w:right="644"/>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61"/>
              <w:spacing w:after="0" w:line="14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980" w:type="dxa"/>
            <w:vAlign w:val="bottom"/>
          </w:tcPr>
          <w:p>
            <w:pPr>
              <w:jc w:val="right"/>
              <w:ind w:right="219"/>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5"/>
          </w:tcPr>
          <w:p>
            <w:pPr>
              <w:jc w:val="right"/>
              <w:ind w:right="81"/>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5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Operations,</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product, and</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201"/>
              <w:spacing w:after="0"/>
              <w:rPr>
                <w:sz w:val="20"/>
                <w:szCs w:val="20"/>
                <w:color w:val="auto"/>
              </w:rPr>
            </w:pPr>
            <w:r>
              <w:rPr>
                <w:rFonts w:ascii="Arial" w:cs="Arial" w:eastAsia="Arial" w:hAnsi="Arial"/>
                <w:sz w:val="18"/>
                <w:szCs w:val="18"/>
                <w:color w:val="auto"/>
              </w:rPr>
              <w:t>39,771</w:t>
            </w: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43,961</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424"/>
              <w:spacing w:after="0"/>
              <w:rPr>
                <w:sz w:val="20"/>
                <w:szCs w:val="20"/>
                <w:color w:val="auto"/>
              </w:rPr>
            </w:pPr>
            <w:r>
              <w:rPr>
                <w:rFonts w:ascii="Arial" w:cs="Arial" w:eastAsia="Arial" w:hAnsi="Arial"/>
                <w:sz w:val="18"/>
                <w:szCs w:val="18"/>
                <w:color w:val="auto"/>
              </w:rPr>
              <w:t>(4,190)</w:t>
            </w:r>
          </w:p>
        </w:tc>
        <w:tc>
          <w:tcPr>
            <w:tcW w:w="10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(9.5)%  $</w:t>
            </w:r>
          </w:p>
        </w:tc>
        <w:tc>
          <w:tcPr>
            <w:tcW w:w="1020" w:type="dxa"/>
            <w:vAlign w:val="bottom"/>
            <w:vMerge w:val="restart"/>
            <w:shd w:val="clear" w:color="auto" w:fill="CCEEFF"/>
          </w:tcPr>
          <w:p>
            <w:pPr>
              <w:jc w:val="right"/>
              <w:ind w:right="181"/>
              <w:spacing w:after="0"/>
              <w:rPr>
                <w:sz w:val="20"/>
                <w:szCs w:val="20"/>
                <w:color w:val="auto"/>
              </w:rPr>
            </w:pPr>
            <w:r>
              <w:rPr>
                <w:rFonts w:ascii="Arial" w:cs="Arial" w:eastAsia="Arial" w:hAnsi="Arial"/>
                <w:sz w:val="18"/>
                <w:szCs w:val="18"/>
                <w:color w:val="auto"/>
              </w:rPr>
              <w:t>78,118</w:t>
            </w: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83,122</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402"/>
              <w:spacing w:after="0"/>
              <w:rPr>
                <w:sz w:val="20"/>
                <w:szCs w:val="20"/>
                <w:color w:val="auto"/>
              </w:rPr>
            </w:pPr>
            <w:r>
              <w:rPr>
                <w:rFonts w:ascii="Arial" w:cs="Arial" w:eastAsia="Arial" w:hAnsi="Arial"/>
                <w:sz w:val="18"/>
                <w:szCs w:val="18"/>
                <w:color w:val="auto"/>
              </w:rPr>
              <w:t>(5,004)</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2"/>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w:t>
            </w:r>
          </w:p>
        </w:tc>
        <w:tc>
          <w:tcPr>
            <w:tcW w:w="20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20" w:type="dxa"/>
            <w:vAlign w:val="bottom"/>
            <w:gridSpan w:val="3"/>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560" w:type="dxa"/>
            <w:vAlign w:val="bottom"/>
          </w:tcPr>
          <w:p>
            <w:pPr>
              <w:ind w:left="20"/>
              <w:spacing w:after="0" w:line="176" w:lineRule="exact"/>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tcPr>
          <w:p>
            <w:pPr>
              <w:ind w:left="180"/>
              <w:spacing w:after="0" w:line="176" w:lineRule="exact"/>
              <w:rPr>
                <w:sz w:val="20"/>
                <w:szCs w:val="20"/>
                <w:color w:val="auto"/>
              </w:rPr>
            </w:pPr>
            <w:r>
              <w:rPr>
                <w:rFonts w:ascii="Arial" w:cs="Arial" w:eastAsia="Arial" w:hAnsi="Arial"/>
                <w:sz w:val="18"/>
                <w:szCs w:val="18"/>
                <w:color w:val="auto"/>
              </w:rPr>
              <w:t>product, and</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60" w:type="dxa"/>
            <w:vAlign w:val="bottom"/>
          </w:tcPr>
          <w:p>
            <w:pPr>
              <w:ind w:left="180"/>
              <w:spacing w:after="0" w:line="189" w:lineRule="exact"/>
              <w:rPr>
                <w:sz w:val="20"/>
                <w:szCs w:val="20"/>
                <w:color w:val="auto"/>
              </w:rPr>
            </w:pPr>
            <w:r>
              <w:rPr>
                <w:rFonts w:ascii="Arial" w:cs="Arial" w:eastAsia="Arial" w:hAnsi="Arial"/>
                <w:sz w:val="18"/>
                <w:szCs w:val="18"/>
                <w:color w:val="auto"/>
              </w:rPr>
              <w:t>technology as a</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60" w:type="dxa"/>
            <w:vAlign w:val="bottom"/>
          </w:tcPr>
          <w:p>
            <w:pPr>
              <w:ind w:left="180"/>
              <w:spacing w:after="0" w:line="176" w:lineRule="exact"/>
              <w:rPr>
                <w:sz w:val="20"/>
                <w:szCs w:val="20"/>
                <w:color w:val="auto"/>
              </w:rPr>
            </w:pPr>
            <w:r>
              <w:rPr>
                <w:rFonts w:ascii="Arial" w:cs="Arial" w:eastAsia="Arial" w:hAnsi="Arial"/>
                <w:sz w:val="18"/>
                <w:szCs w:val="18"/>
                <w:color w:val="auto"/>
              </w:rPr>
              <w:t>percentage of</w:t>
            </w:r>
          </w:p>
        </w:tc>
        <w:tc>
          <w:tcPr>
            <w:tcW w:w="200" w:type="dxa"/>
            <w:vAlign w:val="bottom"/>
          </w:tcPr>
          <w:p>
            <w:pPr>
              <w:spacing w:after="0"/>
              <w:rPr>
                <w:sz w:val="15"/>
                <w:szCs w:val="15"/>
                <w:color w:val="auto"/>
              </w:rPr>
            </w:pPr>
          </w:p>
        </w:tc>
        <w:tc>
          <w:tcPr>
            <w:tcW w:w="1040" w:type="dxa"/>
            <w:vAlign w:val="bottom"/>
            <w:vMerge w:val="restart"/>
          </w:tcPr>
          <w:p>
            <w:pPr>
              <w:jc w:val="right"/>
              <w:ind w:right="1"/>
              <w:spacing w:after="0"/>
              <w:rPr>
                <w:sz w:val="20"/>
                <w:szCs w:val="20"/>
                <w:color w:val="auto"/>
              </w:rPr>
            </w:pPr>
            <w:r>
              <w:rPr>
                <w:rFonts w:ascii="Arial" w:cs="Arial" w:eastAsia="Arial" w:hAnsi="Arial"/>
                <w:sz w:val="18"/>
                <w:szCs w:val="18"/>
                <w:color w:val="auto"/>
              </w:rPr>
              <w:t>48.1 %</w:t>
            </w: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57.5 %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49.3 %</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55.7 %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56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Operations, product, and technology expenses decreased $4.2 million, or 9.5%, for the three months ended June 30, 2023 as compared to the same period in 2022. The decrease was due to a $4.3 million decrease in personnel-related costs and a $1.0 million decrease in inbound shipping and other costs, offset by a $1.1 million increase in facilities, technology, and other allocated costs.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Operations, product, and technology expenses decreased $5.0 million, or 6.0% for the six months ended June 30, 2023 as compared to the same period in 2022. The decrease was due to a $5.1 million decrease in personnel-related costs and a $1.4 million decrease in inbound shipping and other costs, offset by a $1.5 million increase in facilities, technology, and other allocated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Marketing</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1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281"/>
              <w:spacing w:after="0" w:line="14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980" w:type="dxa"/>
            <w:vAlign w:val="bottom"/>
          </w:tcPr>
          <w:p>
            <w:pPr>
              <w:jc w:val="right"/>
              <w:ind w:right="239"/>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624"/>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81"/>
              <w:spacing w:after="0" w:line="14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980" w:type="dxa"/>
            <w:vAlign w:val="bottom"/>
          </w:tcPr>
          <w:p>
            <w:pPr>
              <w:jc w:val="right"/>
              <w:ind w:right="219"/>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5"/>
          </w:tcPr>
          <w:p>
            <w:pPr>
              <w:jc w:val="right"/>
              <w:ind w:right="61"/>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18,643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19,640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24"/>
              <w:spacing w:after="0"/>
              <w:rPr>
                <w:sz w:val="20"/>
                <w:szCs w:val="20"/>
                <w:color w:val="auto"/>
              </w:rPr>
            </w:pPr>
            <w:r>
              <w:rPr>
                <w:rFonts w:ascii="Arial" w:cs="Arial" w:eastAsia="Arial" w:hAnsi="Arial"/>
                <w:sz w:val="18"/>
                <w:szCs w:val="18"/>
                <w:color w:val="auto"/>
              </w:rPr>
              <w:t>(997)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  $</w:t>
            </w: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35,513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36,618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(1,105)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76"/>
        </w:trPr>
        <w:tc>
          <w:tcPr>
            <w:tcW w:w="1520" w:type="dxa"/>
            <w:vAlign w:val="bottom"/>
          </w:tcPr>
          <w:p>
            <w:pPr>
              <w:ind w:left="20"/>
              <w:spacing w:after="0" w:line="176" w:lineRule="exact"/>
              <w:rPr>
                <w:sz w:val="20"/>
                <w:szCs w:val="20"/>
                <w:color w:val="auto"/>
              </w:rPr>
            </w:pPr>
            <w:r>
              <w:rPr>
                <w:rFonts w:ascii="Arial" w:cs="Arial" w:eastAsia="Arial" w:hAnsi="Arial"/>
                <w:sz w:val="18"/>
                <w:szCs w:val="18"/>
                <w:color w:val="auto"/>
              </w:rPr>
              <w:t>Marketing as a</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20" w:type="dxa"/>
            <w:vAlign w:val="bottom"/>
          </w:tcPr>
          <w:p>
            <w:pPr>
              <w:ind w:left="180"/>
              <w:spacing w:after="0" w:line="189" w:lineRule="exact"/>
              <w:rPr>
                <w:sz w:val="20"/>
                <w:szCs w:val="20"/>
                <w:color w:val="auto"/>
              </w:rPr>
            </w:pPr>
            <w:r>
              <w:rPr>
                <w:rFonts w:ascii="Arial" w:cs="Arial" w:eastAsia="Arial" w:hAnsi="Arial"/>
                <w:sz w:val="18"/>
                <w:szCs w:val="18"/>
                <w:color w:val="auto"/>
              </w:rPr>
              <w:t>percentage of</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52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22.6 %</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22.4 %</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Marketing expenses decreased $1.0 million, or 5.1%, for the three months ended June 30, 2023 as compared to the same period in 2022. The decrease was due to a $0.6 million decrease in social and other advertising costs and a $0.4 million decrease in personnel-related, professional services, and other costs.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Marketing expenses decreased $1.1 million, or 3.0%, for the six months ended June 30, 2023 as compared to the same period in 2022. The decrease was due to a $1.7 million decrease in social and other advertising costs and a $0.4 million decrease in professional services, offset by a $1.0 million increase in personnel-related costs, of which $0.6 million was related to stock-based compensation expense.</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Sales, General and Administrative</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81"/>
              <w:spacing w:after="0" w:line="14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980" w:type="dxa"/>
            <w:vAlign w:val="bottom"/>
          </w:tcPr>
          <w:p>
            <w:pPr>
              <w:jc w:val="right"/>
              <w:ind w:right="239"/>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604"/>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81"/>
              <w:spacing w:after="0" w:line="14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980" w:type="dxa"/>
            <w:vAlign w:val="bottom"/>
          </w:tcPr>
          <w:p>
            <w:pPr>
              <w:jc w:val="right"/>
              <w:ind w:right="239"/>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right"/>
              <w:ind w:right="602"/>
              <w:spacing w:after="0"/>
              <w:rPr>
                <w:sz w:val="20"/>
                <w:szCs w:val="20"/>
                <w:color w:val="auto"/>
              </w:rPr>
            </w:pPr>
            <w:r>
              <w:rPr>
                <w:rFonts w:ascii="Arial" w:cs="Arial" w:eastAsia="Arial" w:hAnsi="Arial"/>
                <w:sz w:val="14"/>
                <w:szCs w:val="14"/>
                <w:b w:val="1"/>
                <w:bCs w:val="1"/>
                <w:color w:val="auto"/>
              </w:rPr>
              <w:t>Amount</w:t>
            </w:r>
          </w:p>
        </w:tc>
        <w:tc>
          <w:tcPr>
            <w:tcW w:w="70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1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60" w:type="dxa"/>
            <w:vAlign w:val="bottom"/>
            <w:gridSpan w:val="5"/>
          </w:tcPr>
          <w:p>
            <w:pPr>
              <w:jc w:val="right"/>
              <w:ind w:right="101"/>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Sales, general,</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and</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201"/>
              <w:spacing w:after="0"/>
              <w:rPr>
                <w:sz w:val="20"/>
                <w:szCs w:val="20"/>
                <w:color w:val="auto"/>
              </w:rPr>
            </w:pPr>
            <w:r>
              <w:rPr>
                <w:rFonts w:ascii="Arial" w:cs="Arial" w:eastAsia="Arial" w:hAnsi="Arial"/>
                <w:sz w:val="18"/>
                <w:szCs w:val="18"/>
                <w:color w:val="auto"/>
              </w:rPr>
              <w:t>16,030</w:t>
            </w: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rPr>
              <w:t>17,380</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404"/>
              <w:spacing w:after="0"/>
              <w:rPr>
                <w:sz w:val="20"/>
                <w:szCs w:val="20"/>
                <w:color w:val="auto"/>
              </w:rPr>
            </w:pPr>
            <w:r>
              <w:rPr>
                <w:rFonts w:ascii="Arial" w:cs="Arial" w:eastAsia="Arial" w:hAnsi="Arial"/>
                <w:sz w:val="18"/>
                <w:szCs w:val="18"/>
                <w:color w:val="auto"/>
              </w:rPr>
              <w:t>(1,350)</w:t>
            </w:r>
          </w:p>
        </w:tc>
        <w:tc>
          <w:tcPr>
            <w:tcW w:w="10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(7.8)%  $</w:t>
            </w:r>
          </w:p>
        </w:tc>
        <w:tc>
          <w:tcPr>
            <w:tcW w:w="1020" w:type="dxa"/>
            <w:vAlign w:val="bottom"/>
            <w:vMerge w:val="restart"/>
            <w:shd w:val="clear" w:color="auto" w:fill="CCEEFF"/>
          </w:tcPr>
          <w:p>
            <w:pPr>
              <w:jc w:val="right"/>
              <w:ind w:right="201"/>
              <w:spacing w:after="0"/>
              <w:rPr>
                <w:sz w:val="20"/>
                <w:szCs w:val="20"/>
                <w:color w:val="auto"/>
              </w:rPr>
            </w:pPr>
            <w:r>
              <w:rPr>
                <w:rFonts w:ascii="Arial" w:cs="Arial" w:eastAsia="Arial" w:hAnsi="Arial"/>
                <w:sz w:val="18"/>
                <w:szCs w:val="18"/>
                <w:color w:val="auto"/>
              </w:rPr>
              <w:t>32,089</w:t>
            </w: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rPr>
              <w:t>32,044</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ind w:right="442"/>
              <w:spacing w:after="0"/>
              <w:rPr>
                <w:sz w:val="20"/>
                <w:szCs w:val="20"/>
                <w:color w:val="auto"/>
              </w:rPr>
            </w:pPr>
            <w:r>
              <w:rPr>
                <w:rFonts w:ascii="Arial" w:cs="Arial" w:eastAsia="Arial" w:hAnsi="Arial"/>
                <w:sz w:val="18"/>
                <w:szCs w:val="18"/>
                <w:color w:val="auto"/>
              </w:rPr>
              <w:t>45</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2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620" w:type="dxa"/>
            <w:vAlign w:val="bottom"/>
          </w:tcPr>
          <w:p>
            <w:pPr>
              <w:ind w:left="20"/>
              <w:spacing w:after="0" w:line="189" w:lineRule="exact"/>
              <w:rPr>
                <w:sz w:val="20"/>
                <w:szCs w:val="20"/>
                <w:color w:val="auto"/>
              </w:rPr>
            </w:pPr>
            <w:r>
              <w:rPr>
                <w:rFonts w:ascii="Arial" w:cs="Arial" w:eastAsia="Arial" w:hAnsi="Arial"/>
                <w:sz w:val="18"/>
                <w:szCs w:val="18"/>
                <w:color w:val="auto"/>
              </w:rPr>
              <w:t>Sales, general,</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20" w:type="dxa"/>
            <w:vAlign w:val="bottom"/>
          </w:tcPr>
          <w:p>
            <w:pPr>
              <w:ind w:left="180"/>
              <w:spacing w:after="0" w:line="176" w:lineRule="exact"/>
              <w:rPr>
                <w:sz w:val="20"/>
                <w:szCs w:val="20"/>
                <w:color w:val="auto"/>
              </w:rPr>
            </w:pPr>
            <w:r>
              <w:rPr>
                <w:rFonts w:ascii="Arial" w:cs="Arial" w:eastAsia="Arial" w:hAnsi="Arial"/>
                <w:sz w:val="18"/>
                <w:szCs w:val="18"/>
                <w:color w:val="auto"/>
              </w:rPr>
              <w:t>and</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20" w:type="dxa"/>
            <w:vAlign w:val="bottom"/>
          </w:tcPr>
          <w:p>
            <w:pPr>
              <w:ind w:left="180"/>
              <w:spacing w:after="0" w:line="176" w:lineRule="exact"/>
              <w:rPr>
                <w:sz w:val="20"/>
                <w:szCs w:val="20"/>
                <w:color w:val="auto"/>
              </w:rPr>
            </w:pPr>
            <w:r>
              <w:rPr>
                <w:rFonts w:ascii="Arial" w:cs="Arial" w:eastAsia="Arial" w:hAnsi="Arial"/>
                <w:sz w:val="18"/>
                <w:szCs w:val="18"/>
                <w:color w:val="auto"/>
              </w:rPr>
              <w:t>administrative</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20" w:type="dxa"/>
            <w:vAlign w:val="bottom"/>
          </w:tcPr>
          <w:p>
            <w:pPr>
              <w:ind w:left="180"/>
              <w:spacing w:after="0" w:line="189" w:lineRule="exact"/>
              <w:rPr>
                <w:sz w:val="20"/>
                <w:szCs w:val="20"/>
                <w:color w:val="auto"/>
              </w:rPr>
            </w:pPr>
            <w:r>
              <w:rPr>
                <w:rFonts w:ascii="Arial" w:cs="Arial" w:eastAsia="Arial" w:hAnsi="Arial"/>
                <w:sz w:val="18"/>
                <w:szCs w:val="18"/>
                <w:color w:val="auto"/>
              </w:rPr>
              <w:t>as a percentage</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20" w:type="dxa"/>
            <w:vAlign w:val="bottom"/>
          </w:tcPr>
          <w:p>
            <w:pPr>
              <w:ind w:left="180"/>
              <w:spacing w:after="0"/>
              <w:rPr>
                <w:sz w:val="20"/>
                <w:szCs w:val="20"/>
                <w:color w:val="auto"/>
              </w:rPr>
            </w:pPr>
            <w:r>
              <w:rPr>
                <w:rFonts w:ascii="Arial" w:cs="Arial" w:eastAsia="Arial" w:hAnsi="Arial"/>
                <w:sz w:val="18"/>
                <w:szCs w:val="18"/>
                <w:color w:val="auto"/>
              </w:rPr>
              <w:t>of total revenue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19.4 %</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20.2 %</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Sales, general and administrative decreased $1.4 million, or 7.8%, for the three months ended June 30, 2023 as compared to the same period in 2022. The decrease was due to a $1.1 million decrease in stock-based compensation expense, and a $0.9 million decrease in professional services, offset by a $0.7 million increase in facilities, technology, and other allocated costs, and a $0.2 million increase in other corporate expenses.</w:t>
      </w:r>
    </w:p>
    <w:p>
      <w:pPr>
        <w:spacing w:after="0" w:line="19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Sales, general, and administrative expenses remained flat for the six months ended June 30, 2023 as compared to the same period in 2022. This was due to a $1.9 million increase in personnel-related costs, of which $1.6 million was related to stock-based compensation expense, and a $0.6 million increase in facilities, technology, and other allocated costs, offset by a $2.5 million decrease in professional services and other corporate expenses.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4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24"/>
              <w:spacing w:after="0" w:line="14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900" w:type="dxa"/>
            <w:vAlign w:val="bottom"/>
          </w:tcPr>
          <w:p>
            <w:pPr>
              <w:jc w:val="center"/>
              <w:ind w:right="122"/>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right"/>
              <w:ind w:right="724"/>
              <w:spacing w:after="0"/>
              <w:rPr>
                <w:sz w:val="20"/>
                <w:szCs w:val="20"/>
                <w:color w:val="auto"/>
              </w:rPr>
            </w:pPr>
            <w:r>
              <w:rPr>
                <w:rFonts w:ascii="Arial" w:cs="Arial" w:eastAsia="Arial" w:hAnsi="Arial"/>
                <w:sz w:val="14"/>
                <w:szCs w:val="14"/>
                <w:b w:val="1"/>
                <w:bCs w:val="1"/>
                <w:color w:val="auto"/>
              </w:rPr>
              <w:t>Amount</w:t>
            </w: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64"/>
              <w:spacing w:after="0" w:line="14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900" w:type="dxa"/>
            <w:vAlign w:val="bottom"/>
          </w:tcPr>
          <w:p>
            <w:pPr>
              <w:jc w:val="center"/>
              <w:ind w:right="82"/>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restart"/>
          </w:tcPr>
          <w:p>
            <w:pPr>
              <w:jc w:val="right"/>
              <w:ind w:right="702"/>
              <w:spacing w:after="0"/>
              <w:rPr>
                <w:sz w:val="20"/>
                <w:szCs w:val="20"/>
                <w:color w:val="auto"/>
              </w:rPr>
            </w:pPr>
            <w:r>
              <w:rPr>
                <w:rFonts w:ascii="Arial" w:cs="Arial" w:eastAsia="Arial" w:hAnsi="Arial"/>
                <w:sz w:val="14"/>
                <w:szCs w:val="14"/>
                <w:b w:val="1"/>
                <w:bCs w:val="1"/>
                <w:color w:val="auto"/>
              </w:rPr>
              <w:t>Amount</w:t>
            </w:r>
          </w:p>
        </w:tc>
        <w:tc>
          <w:tcPr>
            <w:tcW w:w="80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40" w:type="dxa"/>
            <w:vAlign w:val="bottom"/>
            <w:gridSpan w:val="5"/>
          </w:tcPr>
          <w:p>
            <w:pPr>
              <w:jc w:val="right"/>
              <w:spacing w:after="0"/>
              <w:rPr>
                <w:sz w:val="20"/>
                <w:szCs w:val="20"/>
                <w:color w:val="auto"/>
              </w:rPr>
            </w:pPr>
            <w:r>
              <w:rPr>
                <w:rFonts w:ascii="Arial" w:cs="Arial" w:eastAsia="Arial" w:hAnsi="Arial"/>
                <w:sz w:val="14"/>
                <w:szCs w:val="14"/>
                <w:i w:val="1"/>
                <w:iCs w:val="1"/>
                <w:color w:val="auto"/>
              </w:rPr>
              <w:t>(in thousands, except percentages)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721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238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24"/>
              <w:spacing w:after="0"/>
              <w:rPr>
                <w:sz w:val="20"/>
                <w:szCs w:val="20"/>
                <w:color w:val="auto"/>
              </w:rPr>
            </w:pPr>
            <w:r>
              <w:rPr>
                <w:rFonts w:ascii="Arial" w:cs="Arial" w:eastAsia="Arial" w:hAnsi="Arial"/>
                <w:sz w:val="18"/>
                <w:szCs w:val="18"/>
                <w:color w:val="auto"/>
              </w:rPr>
              <w:t>483</w:t>
            </w:r>
          </w:p>
        </w:tc>
        <w:tc>
          <w:tcPr>
            <w:tcW w:w="1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202.9 %  $</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798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661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2"/>
              <w:spacing w:after="0"/>
              <w:rPr>
                <w:sz w:val="20"/>
                <w:szCs w:val="20"/>
                <w:color w:val="auto"/>
              </w:rPr>
            </w:pPr>
            <w:r>
              <w:rPr>
                <w:rFonts w:ascii="Arial" w:cs="Arial" w:eastAsia="Arial" w:hAnsi="Arial"/>
                <w:sz w:val="18"/>
                <w:szCs w:val="18"/>
                <w:color w:val="auto"/>
              </w:rPr>
              <w:t>137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increased $0.5 million for the three months ended June 30, 2023 as compared to the same period in 2022. During the three months ended June 30, 2022, $0.3 million was capitalized in conjunction with the build-out of our distribution centers and reclassified from interest expense. There was no such interest capitalization during the three months ended June 30, 2023.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increased $0.1 million for the six months ended June 30, 2023 as compared to the same period in 2022. This increase was due to a decrease in amounts capitalized in conjunction with the build-out of our distribution centers and reclassified from interest expense in 2022.There was no such interest capitalization during the three months ended June 30,2023.</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Income,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64"/>
              <w:spacing w:after="0" w:line="14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2"/>
                <w:szCs w:val="12"/>
                <w:color w:val="auto"/>
              </w:rPr>
            </w:pPr>
          </w:p>
        </w:tc>
        <w:tc>
          <w:tcPr>
            <w:tcW w:w="880" w:type="dxa"/>
            <w:vAlign w:val="bottom"/>
          </w:tcPr>
          <w:p>
            <w:pPr>
              <w:jc w:val="center"/>
              <w:ind w:right="102"/>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restart"/>
          </w:tcPr>
          <w:p>
            <w:pPr>
              <w:jc w:val="right"/>
              <w:ind w:right="704"/>
              <w:spacing w:after="0"/>
              <w:rPr>
                <w:sz w:val="20"/>
                <w:szCs w:val="20"/>
                <w:color w:val="auto"/>
              </w:rPr>
            </w:pPr>
            <w:r>
              <w:rPr>
                <w:rFonts w:ascii="Arial" w:cs="Arial" w:eastAsia="Arial" w:hAnsi="Arial"/>
                <w:sz w:val="14"/>
                <w:szCs w:val="14"/>
                <w:b w:val="1"/>
                <w:bCs w:val="1"/>
                <w:color w:val="auto"/>
              </w:rPr>
              <w:t>Amount</w:t>
            </w:r>
          </w:p>
        </w:tc>
        <w:tc>
          <w:tcPr>
            <w:tcW w:w="8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84"/>
              <w:spacing w:after="0" w:line="14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900" w:type="dxa"/>
            <w:vAlign w:val="bottom"/>
          </w:tcPr>
          <w:p>
            <w:pPr>
              <w:jc w:val="center"/>
              <w:ind w:right="102"/>
              <w:spacing w:after="0" w:line="143" w:lineRule="exact"/>
              <w:rPr>
                <w:sz w:val="20"/>
                <w:szCs w:val="20"/>
                <w:color w:val="auto"/>
              </w:rPr>
            </w:pPr>
            <w:r>
              <w:rPr>
                <w:rFonts w:ascii="Arial" w:cs="Arial" w:eastAsia="Arial" w:hAnsi="Arial"/>
                <w:sz w:val="14"/>
                <w:szCs w:val="14"/>
                <w:b w:val="1"/>
                <w:bCs w:val="1"/>
                <w:color w:val="auto"/>
                <w:w w:val="99"/>
              </w:rPr>
              <w:t>June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vMerge w:val="restart"/>
          </w:tcPr>
          <w:p>
            <w:pPr>
              <w:jc w:val="right"/>
              <w:ind w:right="702"/>
              <w:spacing w:after="0"/>
              <w:rPr>
                <w:sz w:val="20"/>
                <w:szCs w:val="20"/>
                <w:color w:val="auto"/>
              </w:rPr>
            </w:pPr>
            <w:r>
              <w:rPr>
                <w:rFonts w:ascii="Arial" w:cs="Arial" w:eastAsia="Arial" w:hAnsi="Arial"/>
                <w:sz w:val="14"/>
                <w:szCs w:val="14"/>
                <w:b w:val="1"/>
                <w:bCs w:val="1"/>
                <w:color w:val="auto"/>
              </w:rPr>
              <w:t>Amount</w:t>
            </w: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60" w:type="dxa"/>
            <w:vAlign w:val="bottom"/>
            <w:gridSpan w:val="5"/>
          </w:tcPr>
          <w:p>
            <w:pPr>
              <w:ind w:left="1140"/>
              <w:spacing w:after="0"/>
              <w:rPr>
                <w:sz w:val="20"/>
                <w:szCs w:val="20"/>
                <w:color w:val="auto"/>
              </w:rPr>
            </w:pPr>
            <w:r>
              <w:rPr>
                <w:rFonts w:ascii="Arial" w:cs="Arial" w:eastAsia="Arial" w:hAnsi="Arial"/>
                <w:sz w:val="14"/>
                <w:szCs w:val="14"/>
                <w:i w:val="1"/>
                <w:iCs w:val="1"/>
                <w:color w:val="auto"/>
              </w:rPr>
              <w:t>(in thousands, except percentages)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64"/>
              <w:spacing w:after="0"/>
              <w:rPr>
                <w:sz w:val="20"/>
                <w:szCs w:val="20"/>
                <w:color w:val="auto"/>
              </w:rPr>
            </w:pPr>
            <w:r>
              <w:rPr>
                <w:rFonts w:ascii="Arial" w:cs="Arial" w:eastAsia="Arial" w:hAnsi="Arial"/>
                <w:sz w:val="18"/>
                <w:szCs w:val="18"/>
                <w:color w:val="auto"/>
              </w:rPr>
              <w:t>(504)</w:t>
            </w:r>
          </w:p>
        </w:tc>
        <w:tc>
          <w:tcPr>
            <w:tcW w:w="1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278.5 %  $</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(1,161)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(677)</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139.9 %</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Other income, net increased $0.5 million for the three months ended June 30, 2023 as compared to the same period in 2022. The increase was primarily due to an increase in interest income on our marketable securities due to a higher interest rate environment.</w:t>
      </w:r>
    </w:p>
    <w:p>
      <w:pPr>
        <w:spacing w:after="0" w:line="17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Other income, net increased $0.7 million for the six months ended June 30, 2023 as compared to the same period in 2022. The increase was primarily due to an increase in interest income on our marketable securities due to a higher interest rate environment.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have historically generated negative cash flows from operations and have primarily financed our operations through private and public sales of equity securities and debt. As of June 30, 2023, we had cash, cash equivalents and short-term marketable securities of $76.9 million. Additionally, we have a term loan facility (“Term Loan”) under which $38.0 million remained available to be drawn as of June 30, 2023 and we were in full compliance with our debt covenants under the Term Loan as of that date.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Condensed Consolidated Financial Statements included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Quarterly Report on Form 10-Q for a further discussion on our Term Loan.</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expect operating losses and negative cash flows from operations to continue in 2023 as we continue to invest in growing our business and expanding our infrastructure. Our primary use of cash includes operating costs such as distribution network spend, product and technology expenses, marketing expenses, personnel expenses and other expenditures necessary to support our operations and our growth. Additionally, our primary capital expenditures are related to the set-up, expansion and/or automation of our distribution network. Based upon our current operating plans, we believe that our existing cash, cash equivalents and short-term marketable securities will be sufficient to meet our short- and long-term capital requirements and we do not anticipate expanding our distribution network to include additional locations in the near term. Our forecast of the period of time through which our financial resources will be adequate to support our operations is a forward-looking statement that involves risks and uncertainties, and actual results could vary materially.</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future capital requirements will depend on many factors, including but not limited to, the timing of our increased distribution center automation and expansion plans to support planned revenue growth, the expansion of sales and marketing activities, the potential introduction of new offerings and new RaaS clients, the continuing growth of our marketplaces and overall economic conditions. However, we expect that our capital expenditures will decline significantly in 2023 as we complete the first phase of our new distribution center in Texas. We may seek additional equity or debt financing. See the section titled “Risk Factors—Risks Relating to Our Indebtedness and Liquidity—We may require additional capital to support business growth, and this capital might not be available or may be available only by diluting existing stockholders” within the 2022 10-K.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65" w:lineRule="exact"/>
        <w:rPr>
          <w:sz w:val="20"/>
          <w:szCs w:val="20"/>
          <w:color w:val="auto"/>
        </w:rPr>
      </w:pPr>
    </w:p>
    <w:tbl>
      <w:tblPr>
        <w:tblLayout w:type="fixed"/>
        <w:tblInd w:w="1120" w:type="dxa"/>
        <w:tblCellMar>
          <w:top w:w="0" w:type="dxa"/>
          <w:left w:w="0" w:type="dxa"/>
          <w:bottom w:w="0" w:type="dxa"/>
          <w:right w:w="0" w:type="dxa"/>
        </w:tblCellMar>
      </w:tblPr>
      <w:tr>
        <w:trPr>
          <w:trHeight w:val="201"/>
        </w:trPr>
        <w:tc>
          <w:tcPr>
            <w:tcW w:w="5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10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3"/>
        </w:trPr>
        <w:tc>
          <w:tcPr>
            <w:tcW w:w="5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right"/>
              <w:ind w:right="478"/>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jc w:val="right"/>
              <w:ind w:right="475"/>
              <w:spacing w:after="0" w:line="14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0"/>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(14,839)</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(24,835)</w:t>
            </w: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Effect of exchange rate changes on cash, cash equivalents and</w:t>
            </w:r>
          </w:p>
        </w:tc>
        <w:tc>
          <w:tcPr>
            <w:tcW w:w="3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13,045</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(32,452)</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Operating Activities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used in operating activities was $14.8 million during the six months ended June 30, 2023, compared to net cash used of $24.8 million during the six months ended June 30, 2022. Operating cash flows during the six months ended June 30, 2023, reflect our net loss of $38.6 million, non-cash adjustments of $29.0 million primarily for depreciation, amortization, stock-based compensation, and the reduction of the carrying amount of right of use assets, and a net cash outflow of $5.3 million due to changes in our operating assets and liabilities. The $5.3 million outflow from changes in operating assets and liabilities was primarily due to $8.7 million in lower operating lease liabilities, increased inventory and lower accrued and other liabilities partially offset by a $3.3 million increase in seller payables.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Investing Activities</w:t>
      </w:r>
    </w:p>
    <w:p>
      <w:pPr>
        <w:spacing w:after="0" w:line="117"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Net cash provided by investing activities for the six months ended June 30, 2023 increased $34.1 million as compared to the same period in 2022. The increase in cash inflows was primarily due to an increase in cash inflows of $18.8 million from net purchases, sales and maturities of marketable securities and a $15.3 million decrease in purchases of property and equipment in the current period.</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Financing Activities</w:t>
      </w:r>
    </w:p>
    <w:p>
      <w:pPr>
        <w:spacing w:after="0" w:line="117"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Net cash used in financing activities for the six months ended June 30, 2023 decreased $0.6 million as compared to the same period in 2022 which was primarily due to a decrease of $2.0 million in repayments of debt, offset by a net decrease of $1.4 million in cash outflows related to stock-based award activity.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U.S. GAAP requires us to make estimates and assumptions that affect the reported amounts of assets and liabilities and disclosures of contingent assets and liabilities at the date of the financial statements and the reported amounts of revenue and expenses during the year. We base our estimates and assumptions on current facts, historical experience and various other factors that we believe to be reasonable under the circumstances, the results of which form the basis for making judgments about the carrying values of assets and liabilities and the recording of revenue, costs and expenses. Actual results could differ from those estimates.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There have been no material changes to our critical accounting policies since the 2022 10-K. For a description of critical accounting policies that affect our significant judgments and estimates used in the preparation of our condensed consolidated financial statements, see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of the 2022 10-K.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JOBS Act Accounting Election</w:t>
      </w:r>
    </w:p>
    <w:p>
      <w:pPr>
        <w:spacing w:after="0" w:line="1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condensed consolidated financial statements may not be comparable to companies that comply with new or revised accounting pronouncements as of public company effective dates.</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See discussion under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to the Condensed Consolidated Financial Statements included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Quarterly Report on Form 10-Q for information on new accounting pronouncements.</w:t>
      </w:r>
    </w:p>
    <w:p>
      <w:pPr>
        <w:spacing w:after="0" w:line="2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w:t>
      </w:r>
    </w:p>
    <w:p>
      <w:pPr>
        <w:spacing w:after="0" w:line="3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June 30, 2023, we had cash and cash equivalents of $51.1 million and marketable securities of $25.9 million, consisting primarily of money market funds, commercial paper, corporate debt securities, U.S. treasury securities and U.S. government agency bonds and discount notes, which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 to intermediate-term nature of our investments, we have not been exposed to, nor do we anticipate being exposed to, material risks due to fluctuations in interest rates.</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The Term Loan bears variable interest rates tied to the prime rate, with a floor of 6.00%, and therefore carries interest rate risk. If interest rates were to increase or decrease by 1% for the year and our borrowing amounts on the Term Loan remained constant, our annual interest expense could increase or decrease by approximately $0.3 million, respectively. See the risk factor discussion captioned </w:t>
      </w:r>
      <w:r>
        <w:rPr>
          <w:rFonts w:ascii="Arial" w:cs="Arial" w:eastAsia="Arial" w:hAnsi="Arial"/>
          <w:sz w:val="18"/>
          <w:szCs w:val="18"/>
          <w:i w:val="1"/>
          <w:iCs w:val="1"/>
          <w:color w:val="auto"/>
        </w:rPr>
        <w:t>"Risks Relating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Our Indebtedness and Liquidity—Recent events affecting the financial services industry could have an adverse impact on our business, results of operations and financial conditions" </w:t>
      </w:r>
      <w:r>
        <w:rPr>
          <w:rFonts w:ascii="Arial" w:cs="Arial" w:eastAsia="Arial" w:hAnsi="Arial"/>
          <w:sz w:val="18"/>
          <w:szCs w:val="18"/>
          <w:color w:val="auto"/>
        </w:rPr>
        <w:t>under Part II, Item 1A of this Quarterly Report on Form 10-Q for more discussion on adverse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developments affecting the financial services industry that may have an adverse impact on our business, results of operations and financial conditions.</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Inflation Risk</w:t>
      </w:r>
    </w:p>
    <w:p>
      <w:pPr>
        <w:spacing w:after="0" w:line="1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June 30, 2023, inflation remains at elevated levels in the U.S. and overseas where we conduct our business, resulting in rising interest rates and fuel, labor and processing, freight and other costs that have affected our gross margin and operating expenses. We believe these increases have negatively impacted our business, and although difficult to quantify, inflation is potentially having an adverse effect on our customers’ ability to purchase in our marketplaces, resulting in slowing revenue and Order growth. If we are unable to increase our prices to sufficiently offset the rising costs of doing business, our profitability and financial position could be adversely impacted.</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Exchange Rate Risk</w:t>
      </w:r>
    </w:p>
    <w:p>
      <w:pPr>
        <w:spacing w:after="0" w:line="1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transact business in Europe through Remix in multiple currencies. As a result, our operating results, cash flows and net investment in Remix are subject to fluctuations due to changes in foreign currency exchange rates. As of June 30, 2023, our most significant currency exposure was the Bulgarian lev. We manage our foreign currency exchange rate risks through natural hedges including foreign currency revenue and costs matching, as well as foreign currency assets offsetting liabilities. We have not entered into any hedging arrangements with respect to foreign currency risk, but we may do so in the future if our exposure to foreign currency becomes more significant.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Assets and liabilities of our foreign operations are translated into dollars at period-end rates, while income and expenses are translated using the average exchange rate during the period in which the transactions occurred. The related translation adjustments were reflected as a favorable foreign currency translation adjustment of $0.3 million during the six months ended June 30, 2023, which was recognized in accumulated other comprehensive loss within our condensed consolidated balance sheet.</w:t>
      </w:r>
    </w:p>
    <w:p>
      <w:pPr>
        <w:spacing w:after="0" w:line="19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A hypothetical 10% change in foreign currency exchange rates would not have had a material impact on our financial condition or results of operations during any of the periods presented.</w:t>
      </w:r>
    </w:p>
    <w:p>
      <w:pPr>
        <w:spacing w:after="0" w:line="2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2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Rules 13a-15(e) and 15d-15(e) under the Securities Exchange Act of 1934, as amended (“Exchange Act”) as of the end of the period covered by this report.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not absolute, assurance of achieving the desired control objective and management necessarily applies its judgment in evaluating the cost-benefit relationship of possible controls and procedures. Further, no evaluation of control can provide absolute assurance that misstatements due to error or fraud will not occur or that all control issues and instances of fraud, if any, within the Company have been detected.</w:t>
      </w:r>
    </w:p>
    <w:p>
      <w:pPr>
        <w:spacing w:after="0" w:line="2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Because of the material weakness in our internal control over financial reporting discussed below, our Chief Executive Officer and Chief Financial Officer concluded that, as of June 30, 2023, our disclosure controls and procedures were not effective. In light of this fact, our management, including our Chief Executive Officer and Chief Financial Officer, has put in place processes and controls and other post-closing procedures and has concluded that, notwithstanding the material weakness in our internal control over financial reporting, the unaudited interim condensed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Previously Reported Material Weaknesses in Internal Control Over Financial Reporting</w:t>
      </w:r>
    </w:p>
    <w:p>
      <w:pPr>
        <w:spacing w:after="0" w:line="1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previously described in the 2022 10-K, in connection with the audits of our consolidated financial statements in certain prior years, we and our independent registered public accounting firms identified certain control deficiencies in the design and implementation of our internal control over financial reporting that, in the aggregate, constituted a material weakness.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material weakness related to the following control deficiency:</w:t>
      </w:r>
    </w:p>
    <w:p>
      <w:pPr>
        <w:spacing w:after="0" w:line="117" w:lineRule="exact"/>
        <w:rPr>
          <w:sz w:val="20"/>
          <w:szCs w:val="20"/>
          <w:color w:val="auto"/>
        </w:rPr>
      </w:pPr>
    </w:p>
    <w:p>
      <w:pPr>
        <w:jc w:val="both"/>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did not design and maintain adequate controls over the preparation and review of certain account reconciliations and journal entries. Specifically, we did not design and maintain controls and we did not maintain a sufficient complement of accounting personnel to ensure account reconciliations were prepared and reviewed at the appropriate level of precision on a consistent and timely basis.</w:t>
      </w:r>
    </w:p>
    <w:p>
      <w:pPr>
        <w:spacing w:after="0" w:line="1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deficiency described above, if not remediated, could result in a misstatement of one or more account balances or disclosures in our annual or interim consolidated financial statements that would not be prevented or detected, and, accordingly, we determined that this control deficiency constitutes a material weakness.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Remediation Plans</w:t>
      </w:r>
    </w:p>
    <w:p>
      <w:pPr>
        <w:spacing w:after="0" w:line="1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To address our material weakness, we have added accounting and finance personnel and implemented new financial accounting processes, controls, and systems. We are continuing to take steps to remediate the material weakness described above through hiring additional qualified accounting and finance resources and further evolving our accounting close processes. We will not be able to fully remediate this control deficiency until these steps have been completed and the controls have been operating effectively for a sufficient period of time.</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are taking actions to remediate the material weakness relating to our internal control over financial reporting, as described above. Except as described above, there was not any change in our internal control over financial reporting (as such term is defined in Rules 13a-15(f) and 15d-15(f) under the Exchange Act)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w:t>
      </w:r>
    </w:p>
    <w:p>
      <w:pPr>
        <w:spacing w:after="0" w:line="2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Risks affecting our business are discussed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Annual Report on Form 10-K for the year ended December 31, 2022 (“2022 10-K”) and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our Quarterly Report on Form 10-Q for the quarter ended March 31, 2023 (“Q1 2023 10-Q”). There have been no material changes to our risk factors as previously disclosed in our 2022 10-K and Q1 2023 10-Q.</w:t>
      </w:r>
    </w:p>
    <w:p>
      <w:pPr>
        <w:spacing w:after="0" w:line="28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7" w:lineRule="exact"/>
        <w:rPr>
          <w:sz w:val="20"/>
          <w:szCs w:val="20"/>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Pursuant to a share purchase agreement entered into on July 24, 2021, on April 17, 2023 we issued 130,597 shares of our Class A common stock to four sellers who were accredited investors in connection with the acquisition of Remix Global EAD. The share issuance was exempt from registration pursuant to Section 4(a)(2) of the Securities Act.</w:t>
      </w:r>
    </w:p>
    <w:p>
      <w:pPr>
        <w:spacing w:after="0" w:line="75"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30, 2021, we closed our IPO, in which we sold 13,800,000 shares of our Class A common stock at an offering price of $14.00 per share, including 1,800,000 shares pursuant to the exercise of the underwriters’ option to purchase additional shares of our Class A common stock, resulting in net proceeds to us of $175.5 million after deducting offering costs, underwriting discounts and commissions of $17.7 million. All of the shares offered, issued and sold in our IPO were registered under the Securities Act pursuant to a registration statement on Form S-1 (File No. 333-253834), which was declared effective by the SEC on March 25, 2021. There has been no material change in the planned use of proceeds from the IPO as disclosed in our final prospectus filed pursuant to Rule 424(b) on March 26, 2021.</w:t>
      </w:r>
    </w:p>
    <w:p>
      <w:pPr>
        <w:spacing w:after="0" w:line="8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w:t>
      </w:r>
    </w:p>
    <w:p>
      <w:pPr>
        <w:spacing w:after="0" w:line="3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w:t>
      </w:r>
    </w:p>
    <w:p>
      <w:pPr>
        <w:spacing w:after="0" w:line="3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 Index: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jc w:val="center"/>
              <w:ind w:right="648"/>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31"/>
        </w:trPr>
        <w:tc>
          <w:tcPr>
            <w:tcW w:w="10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580" w:type="dxa"/>
            <w:vAlign w:val="bottom"/>
            <w:gridSpan w:val="12"/>
            <w:vMerge w:val="restart"/>
          </w:tcPr>
          <w:p>
            <w:pPr>
              <w:ind w:left="1840"/>
              <w:spacing w:after="0"/>
              <w:rPr>
                <w:sz w:val="20"/>
                <w:szCs w:val="20"/>
                <w:color w:val="auto"/>
              </w:rPr>
            </w:pPr>
            <w:r>
              <w:rPr>
                <w:rFonts w:ascii="Arial" w:cs="Arial" w:eastAsia="Arial" w:hAnsi="Arial"/>
                <w:sz w:val="14"/>
                <w:szCs w:val="14"/>
                <w:b w:val="1"/>
                <w:bCs w:val="1"/>
                <w:color w:val="auto"/>
              </w:rPr>
              <w:t>Description</w:t>
            </w:r>
          </w:p>
        </w:tc>
        <w:tc>
          <w:tcPr>
            <w:tcW w:w="80" w:type="dxa"/>
            <w:vAlign w:val="bottom"/>
            <w:vMerge w:val="restart"/>
          </w:tcPr>
          <w:p>
            <w:pPr>
              <w:spacing w:after="0"/>
              <w:rPr>
                <w:sz w:val="11"/>
                <w:szCs w:val="11"/>
                <w:color w:val="auto"/>
              </w:rPr>
            </w:pPr>
          </w:p>
        </w:tc>
        <w:tc>
          <w:tcPr>
            <w:tcW w:w="720" w:type="dxa"/>
            <w:vAlign w:val="bottom"/>
            <w:vMerge w:val="restart"/>
          </w:tcPr>
          <w:p>
            <w:pPr>
              <w:jc w:val="center"/>
              <w:ind w:left="234"/>
              <w:spacing w:after="0"/>
              <w:rPr>
                <w:sz w:val="20"/>
                <w:szCs w:val="20"/>
                <w:color w:val="auto"/>
              </w:rPr>
            </w:pPr>
            <w:r>
              <w:rPr>
                <w:rFonts w:ascii="Arial" w:cs="Arial" w:eastAsia="Arial" w:hAnsi="Arial"/>
                <w:sz w:val="14"/>
                <w:szCs w:val="14"/>
                <w:b w:val="1"/>
                <w:bCs w:val="1"/>
                <w:color w:val="auto"/>
              </w:rPr>
              <w:t>Form</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1"/>
                <w:szCs w:val="11"/>
                <w:color w:val="auto"/>
              </w:rPr>
            </w:pPr>
          </w:p>
        </w:tc>
        <w:tc>
          <w:tcPr>
            <w:tcW w:w="10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580" w:type="dxa"/>
            <w:vAlign w:val="bottom"/>
            <w:tcBorders>
              <w:bottom w:val="single" w:sz="8" w:color="auto"/>
            </w:tcBorders>
            <w:gridSpan w:val="1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5"/>
              </w:rPr>
              <w:t>3.1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720" w:type="dxa"/>
            <w:vAlign w:val="bottom"/>
            <w:gridSpan w:val="16"/>
            <w:shd w:val="clear" w:color="auto" w:fill="CCEEFF"/>
          </w:tcPr>
          <w:p>
            <w:pPr>
              <w:spacing w:after="0" w:line="182" w:lineRule="exact"/>
              <w:rPr>
                <w:rFonts w:ascii="Arial" w:cs="Arial" w:eastAsia="Arial" w:hAnsi="Arial"/>
                <w:sz w:val="18"/>
                <w:szCs w:val="18"/>
                <w:color w:val="0000FF"/>
              </w:rPr>
            </w:pPr>
            <w:hyperlink r:id="rId54">
              <w:r>
                <w:rPr>
                  <w:rFonts w:ascii="Arial" w:cs="Arial" w:eastAsia="Arial" w:hAnsi="Arial"/>
                  <w:sz w:val="18"/>
                  <w:szCs w:val="18"/>
                  <w:color w:val="0000FF"/>
                </w:rPr>
                <w:t>Amended and Restated Certificate of Incorporation of the Registrant</w:t>
              </w:r>
            </w:hyperlink>
          </w:p>
        </w:tc>
        <w:tc>
          <w:tcPr>
            <w:tcW w:w="720" w:type="dxa"/>
            <w:vAlign w:val="bottom"/>
            <w:shd w:val="clear" w:color="auto" w:fill="CCEEFF"/>
          </w:tcPr>
          <w:p>
            <w:pPr>
              <w:jc w:val="center"/>
              <w:ind w:left="234"/>
              <w:spacing w:after="0" w:line="182" w:lineRule="exact"/>
              <w:rPr>
                <w:sz w:val="20"/>
                <w:szCs w:val="20"/>
                <w:color w:val="auto"/>
              </w:rPr>
            </w:pPr>
            <w:r>
              <w:rPr>
                <w:rFonts w:ascii="Arial" w:cs="Arial" w:eastAsia="Arial" w:hAnsi="Arial"/>
                <w:sz w:val="18"/>
                <w:szCs w:val="18"/>
                <w:color w:val="auto"/>
                <w:w w:val="99"/>
              </w:rPr>
              <w:t>S-1</w:t>
            </w:r>
          </w:p>
        </w:tc>
        <w:tc>
          <w:tcPr>
            <w:tcW w:w="1460" w:type="dxa"/>
            <w:vAlign w:val="bottom"/>
            <w:gridSpan w:val="3"/>
            <w:shd w:val="clear" w:color="auto" w:fill="CCEEFF"/>
          </w:tcPr>
          <w:p>
            <w:pPr>
              <w:jc w:val="center"/>
              <w:ind w:left="334"/>
              <w:spacing w:after="0" w:line="182" w:lineRule="exact"/>
              <w:rPr>
                <w:sz w:val="20"/>
                <w:szCs w:val="20"/>
                <w:color w:val="auto"/>
              </w:rPr>
            </w:pPr>
            <w:r>
              <w:rPr>
                <w:rFonts w:ascii="Arial" w:cs="Arial" w:eastAsia="Arial" w:hAnsi="Arial"/>
                <w:sz w:val="18"/>
                <w:szCs w:val="18"/>
                <w:color w:val="auto"/>
                <w:w w:val="95"/>
              </w:rPr>
              <w:t>3.2</w:t>
            </w:r>
          </w:p>
        </w:tc>
        <w:tc>
          <w:tcPr>
            <w:tcW w:w="1160" w:type="dxa"/>
            <w:vAlign w:val="bottom"/>
            <w:gridSpan w:val="2"/>
            <w:shd w:val="clear" w:color="auto" w:fill="CCEEFF"/>
          </w:tcPr>
          <w:p>
            <w:pPr>
              <w:jc w:val="center"/>
              <w:ind w:left="10"/>
              <w:spacing w:after="0" w:line="182" w:lineRule="exact"/>
              <w:rPr>
                <w:sz w:val="20"/>
                <w:szCs w:val="20"/>
                <w:color w:val="auto"/>
              </w:rPr>
            </w:pPr>
            <w:r>
              <w:rPr>
                <w:rFonts w:ascii="Arial" w:cs="Arial" w:eastAsia="Arial" w:hAnsi="Arial"/>
                <w:sz w:val="18"/>
                <w:szCs w:val="18"/>
                <w:color w:val="auto"/>
                <w:w w:val="99"/>
              </w:rPr>
              <w:t>3/3/2021</w:t>
            </w:r>
          </w:p>
        </w:tc>
        <w:tc>
          <w:tcPr>
            <w:tcW w:w="0" w:type="dxa"/>
            <w:vAlign w:val="bottom"/>
          </w:tcPr>
          <w:p>
            <w:pPr>
              <w:spacing w:after="0"/>
              <w:rPr>
                <w:sz w:val="1"/>
                <w:szCs w:val="1"/>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62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5"/>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20" w:type="dxa"/>
            <w:vAlign w:val="bottom"/>
            <w:gridSpan w:val="16"/>
          </w:tcPr>
          <w:p>
            <w:pPr>
              <w:spacing w:after="0" w:line="189" w:lineRule="exact"/>
              <w:rPr>
                <w:rFonts w:ascii="Arial" w:cs="Arial" w:eastAsia="Arial" w:hAnsi="Arial"/>
                <w:sz w:val="18"/>
                <w:szCs w:val="18"/>
                <w:color w:val="0000FF"/>
              </w:rPr>
            </w:pPr>
            <w:hyperlink r:id="rId55">
              <w:r>
                <w:rPr>
                  <w:rFonts w:ascii="Arial" w:cs="Arial" w:eastAsia="Arial" w:hAnsi="Arial"/>
                  <w:sz w:val="18"/>
                  <w:szCs w:val="18"/>
                  <w:color w:val="0000FF"/>
                </w:rPr>
                <w:t>Amended and Restated Bylaws of the Registrant, as adopted on February 16,</w:t>
              </w:r>
            </w:hyperlink>
          </w:p>
        </w:tc>
        <w:tc>
          <w:tcPr>
            <w:tcW w:w="720" w:type="dxa"/>
            <w:vAlign w:val="bottom"/>
          </w:tcPr>
          <w:p>
            <w:pPr>
              <w:jc w:val="center"/>
              <w:ind w:left="234"/>
              <w:spacing w:after="0" w:line="189" w:lineRule="exact"/>
              <w:rPr>
                <w:sz w:val="20"/>
                <w:szCs w:val="20"/>
                <w:color w:val="auto"/>
              </w:rPr>
            </w:pPr>
            <w:r>
              <w:rPr>
                <w:rFonts w:ascii="Arial" w:cs="Arial" w:eastAsia="Arial" w:hAnsi="Arial"/>
                <w:sz w:val="18"/>
                <w:szCs w:val="18"/>
                <w:color w:val="auto"/>
                <w:w w:val="99"/>
              </w:rPr>
              <w:t>8-K</w:t>
            </w:r>
          </w:p>
        </w:tc>
        <w:tc>
          <w:tcPr>
            <w:tcW w:w="1460" w:type="dxa"/>
            <w:vAlign w:val="bottom"/>
            <w:gridSpan w:val="3"/>
          </w:tcPr>
          <w:p>
            <w:pPr>
              <w:jc w:val="center"/>
              <w:ind w:left="334"/>
              <w:spacing w:after="0" w:line="189" w:lineRule="exact"/>
              <w:rPr>
                <w:sz w:val="20"/>
                <w:szCs w:val="20"/>
                <w:color w:val="auto"/>
              </w:rPr>
            </w:pPr>
            <w:r>
              <w:rPr>
                <w:rFonts w:ascii="Arial" w:cs="Arial" w:eastAsia="Arial" w:hAnsi="Arial"/>
                <w:sz w:val="18"/>
                <w:szCs w:val="18"/>
                <w:color w:val="auto"/>
                <w:w w:val="95"/>
              </w:rPr>
              <w:t>3.1</w:t>
            </w:r>
          </w:p>
        </w:tc>
        <w:tc>
          <w:tcPr>
            <w:tcW w:w="1160" w:type="dxa"/>
            <w:vAlign w:val="bottom"/>
            <w:gridSpan w:val="2"/>
          </w:tcPr>
          <w:p>
            <w:pPr>
              <w:jc w:val="center"/>
              <w:spacing w:after="0" w:line="189" w:lineRule="exact"/>
              <w:rPr>
                <w:sz w:val="20"/>
                <w:szCs w:val="20"/>
                <w:color w:val="auto"/>
              </w:rPr>
            </w:pPr>
            <w:r>
              <w:rPr>
                <w:rFonts w:ascii="Arial" w:cs="Arial" w:eastAsia="Arial" w:hAnsi="Arial"/>
                <w:sz w:val="18"/>
                <w:szCs w:val="18"/>
                <w:color w:val="auto"/>
                <w:w w:val="99"/>
              </w:rPr>
              <w:t>2/21/2023</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r:id="rId55">
              <w:r>
                <w:rPr>
                  <w:rFonts w:ascii="Arial" w:cs="Arial" w:eastAsia="Arial" w:hAnsi="Arial"/>
                  <w:sz w:val="18"/>
                  <w:szCs w:val="18"/>
                  <w:color w:val="0000FF"/>
                  <w:w w:val="94"/>
                </w:rPr>
                <w:t>2023</w:t>
              </w:r>
            </w:hyperlink>
          </w:p>
        </w:tc>
        <w:tc>
          <w:tcPr>
            <w:tcW w:w="5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6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4.1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20" w:type="dxa"/>
            <w:vAlign w:val="bottom"/>
            <w:gridSpan w:val="16"/>
            <w:shd w:val="clear" w:color="auto" w:fill="CCEEFF"/>
          </w:tcPr>
          <w:p>
            <w:pPr>
              <w:spacing w:after="0" w:line="189" w:lineRule="exact"/>
              <w:rPr>
                <w:rFonts w:ascii="Arial" w:cs="Arial" w:eastAsia="Arial" w:hAnsi="Arial"/>
                <w:sz w:val="18"/>
                <w:szCs w:val="18"/>
                <w:color w:val="0000FF"/>
              </w:rPr>
            </w:pPr>
            <w:hyperlink r:id="rId56">
              <w:r>
                <w:rPr>
                  <w:rFonts w:ascii="Arial" w:cs="Arial" w:eastAsia="Arial" w:hAnsi="Arial"/>
                  <w:sz w:val="18"/>
                  <w:szCs w:val="18"/>
                  <w:color w:val="0000FF"/>
                </w:rPr>
                <w:t>Form of Class A common stock certificate of the Registrant</w:t>
              </w:r>
            </w:hyperlink>
          </w:p>
        </w:tc>
        <w:tc>
          <w:tcPr>
            <w:tcW w:w="720" w:type="dxa"/>
            <w:vAlign w:val="bottom"/>
            <w:shd w:val="clear" w:color="auto" w:fill="CCEEFF"/>
          </w:tcPr>
          <w:p>
            <w:pPr>
              <w:jc w:val="center"/>
              <w:ind w:left="234"/>
              <w:spacing w:after="0" w:line="189" w:lineRule="exact"/>
              <w:rPr>
                <w:sz w:val="20"/>
                <w:szCs w:val="20"/>
                <w:color w:val="auto"/>
              </w:rPr>
            </w:pPr>
            <w:r>
              <w:rPr>
                <w:rFonts w:ascii="Arial" w:cs="Arial" w:eastAsia="Arial" w:hAnsi="Arial"/>
                <w:sz w:val="18"/>
                <w:szCs w:val="18"/>
                <w:color w:val="auto"/>
                <w:w w:val="99"/>
              </w:rPr>
              <w:t>S-1</w:t>
            </w:r>
          </w:p>
        </w:tc>
        <w:tc>
          <w:tcPr>
            <w:tcW w:w="1460" w:type="dxa"/>
            <w:vAlign w:val="bottom"/>
            <w:gridSpan w:val="3"/>
            <w:shd w:val="clear" w:color="auto" w:fill="CCEEFF"/>
          </w:tcPr>
          <w:p>
            <w:pPr>
              <w:jc w:val="center"/>
              <w:ind w:left="334"/>
              <w:spacing w:after="0" w:line="189" w:lineRule="exact"/>
              <w:rPr>
                <w:sz w:val="20"/>
                <w:szCs w:val="20"/>
                <w:color w:val="auto"/>
              </w:rPr>
            </w:pPr>
            <w:r>
              <w:rPr>
                <w:rFonts w:ascii="Arial" w:cs="Arial" w:eastAsia="Arial" w:hAnsi="Arial"/>
                <w:sz w:val="18"/>
                <w:szCs w:val="18"/>
                <w:color w:val="auto"/>
                <w:w w:val="95"/>
              </w:rPr>
              <w:t>4.1</w:t>
            </w:r>
          </w:p>
        </w:tc>
        <w:tc>
          <w:tcPr>
            <w:tcW w:w="1160" w:type="dxa"/>
            <w:vAlign w:val="bottom"/>
            <w:gridSpan w:val="2"/>
            <w:shd w:val="clear" w:color="auto" w:fill="CCEEFF"/>
          </w:tcPr>
          <w:p>
            <w:pPr>
              <w:jc w:val="center"/>
              <w:ind w:left="10"/>
              <w:spacing w:after="0" w:line="189" w:lineRule="exact"/>
              <w:rPr>
                <w:sz w:val="20"/>
                <w:szCs w:val="20"/>
                <w:color w:val="auto"/>
              </w:rPr>
            </w:pPr>
            <w:r>
              <w:rPr>
                <w:rFonts w:ascii="Arial" w:cs="Arial" w:eastAsia="Arial" w:hAnsi="Arial"/>
                <w:sz w:val="18"/>
                <w:szCs w:val="18"/>
                <w:color w:val="auto"/>
                <w:w w:val="99"/>
              </w:rPr>
              <w:t>3/3/2021</w:t>
            </w:r>
          </w:p>
        </w:tc>
        <w:tc>
          <w:tcPr>
            <w:tcW w:w="0" w:type="dxa"/>
            <w:vAlign w:val="bottom"/>
          </w:tcPr>
          <w:p>
            <w:pPr>
              <w:spacing w:after="0"/>
              <w:rPr>
                <w:sz w:val="1"/>
                <w:szCs w:val="1"/>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62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5"/>
              </w:rPr>
              <w:t>4.2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20" w:type="dxa"/>
            <w:vAlign w:val="bottom"/>
            <w:gridSpan w:val="16"/>
          </w:tcPr>
          <w:p>
            <w:pPr>
              <w:spacing w:after="0" w:line="189" w:lineRule="exact"/>
              <w:rPr>
                <w:rFonts w:ascii="Arial" w:cs="Arial" w:eastAsia="Arial" w:hAnsi="Arial"/>
                <w:sz w:val="18"/>
                <w:szCs w:val="18"/>
                <w:color w:val="0000FF"/>
              </w:rPr>
            </w:pPr>
            <w:hyperlink r:id="rId57">
              <w:r>
                <w:rPr>
                  <w:rFonts w:ascii="Arial" w:cs="Arial" w:eastAsia="Arial" w:hAnsi="Arial"/>
                  <w:sz w:val="18"/>
                  <w:szCs w:val="18"/>
                  <w:color w:val="0000FF"/>
                </w:rPr>
                <w:t>Tenth Amended and Restated Investors’ Rights Agreement, dated February 16,</w:t>
              </w:r>
            </w:hyperlink>
          </w:p>
        </w:tc>
        <w:tc>
          <w:tcPr>
            <w:tcW w:w="720" w:type="dxa"/>
            <w:vAlign w:val="bottom"/>
          </w:tcPr>
          <w:p>
            <w:pPr>
              <w:jc w:val="center"/>
              <w:ind w:left="234"/>
              <w:spacing w:after="0" w:line="189" w:lineRule="exact"/>
              <w:rPr>
                <w:sz w:val="20"/>
                <w:szCs w:val="20"/>
                <w:color w:val="auto"/>
              </w:rPr>
            </w:pPr>
            <w:r>
              <w:rPr>
                <w:rFonts w:ascii="Arial" w:cs="Arial" w:eastAsia="Arial" w:hAnsi="Arial"/>
                <w:sz w:val="18"/>
                <w:szCs w:val="18"/>
                <w:color w:val="auto"/>
                <w:w w:val="99"/>
              </w:rPr>
              <w:t>S-1</w:t>
            </w:r>
          </w:p>
        </w:tc>
        <w:tc>
          <w:tcPr>
            <w:tcW w:w="1460" w:type="dxa"/>
            <w:vAlign w:val="bottom"/>
            <w:gridSpan w:val="3"/>
          </w:tcPr>
          <w:p>
            <w:pPr>
              <w:jc w:val="center"/>
              <w:ind w:left="334"/>
              <w:spacing w:after="0" w:line="189" w:lineRule="exact"/>
              <w:rPr>
                <w:sz w:val="20"/>
                <w:szCs w:val="20"/>
                <w:color w:val="auto"/>
              </w:rPr>
            </w:pPr>
            <w:r>
              <w:rPr>
                <w:rFonts w:ascii="Arial" w:cs="Arial" w:eastAsia="Arial" w:hAnsi="Arial"/>
                <w:sz w:val="18"/>
                <w:szCs w:val="18"/>
                <w:color w:val="auto"/>
                <w:w w:val="95"/>
              </w:rPr>
              <w:t>4.2</w:t>
            </w:r>
          </w:p>
        </w:tc>
        <w:tc>
          <w:tcPr>
            <w:tcW w:w="1160" w:type="dxa"/>
            <w:vAlign w:val="bottom"/>
            <w:gridSpan w:val="2"/>
          </w:tcPr>
          <w:p>
            <w:pPr>
              <w:jc w:val="center"/>
              <w:ind w:left="10"/>
              <w:spacing w:after="0" w:line="189" w:lineRule="exact"/>
              <w:rPr>
                <w:sz w:val="20"/>
                <w:szCs w:val="20"/>
                <w:color w:val="auto"/>
              </w:rPr>
            </w:pPr>
            <w:r>
              <w:rPr>
                <w:rFonts w:ascii="Arial" w:cs="Arial" w:eastAsia="Arial" w:hAnsi="Arial"/>
                <w:sz w:val="18"/>
                <w:szCs w:val="18"/>
                <w:color w:val="auto"/>
                <w:w w:val="99"/>
              </w:rPr>
              <w:t>3/3/2021</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2021, by and among the Registrant and certain of its stockholders</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31.1*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2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Certification of Principal Executive Officer pursuant to Exchange Act Rules 13a-</w:t>
            </w: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320" w:type="dxa"/>
            <w:vAlign w:val="bottom"/>
            <w:tcBorders>
              <w:top w:val="single" w:sz="8" w:color="0000FF"/>
              <w:bottom w:val="single" w:sz="8" w:color="0000FF"/>
            </w:tcBorders>
            <w:gridSpan w:val="11"/>
            <w:shd w:val="clear" w:color="auto" w:fill="CCEEFF"/>
          </w:tcPr>
          <w:p>
            <w:pPr>
              <w:spacing w:after="0" w:line="169" w:lineRule="exact"/>
              <w:rPr>
                <w:sz w:val="20"/>
                <w:szCs w:val="20"/>
                <w:color w:val="auto"/>
              </w:rPr>
            </w:pPr>
            <w:r>
              <w:rPr>
                <w:rFonts w:ascii="Arial" w:cs="Arial" w:eastAsia="Arial" w:hAnsi="Arial"/>
                <w:sz w:val="18"/>
                <w:szCs w:val="18"/>
                <w:color w:val="0000FF"/>
                <w:w w:val="98"/>
              </w:rPr>
              <w:t>14(a) and 15d-14(a), as adopted pursuant to Section 302 of the Sarbanes-Oxley</w:t>
            </w:r>
          </w:p>
        </w:tc>
        <w:tc>
          <w:tcPr>
            <w:tcW w:w="6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0000FF"/>
            </w:tcBorders>
            <w:gridSpan w:val="2"/>
            <w:shd w:val="clear" w:color="auto" w:fill="CCEEFF"/>
          </w:tcPr>
          <w:p>
            <w:pPr>
              <w:spacing w:after="0" w:line="156" w:lineRule="exact"/>
              <w:rPr>
                <w:sz w:val="20"/>
                <w:szCs w:val="20"/>
                <w:color w:val="auto"/>
              </w:rPr>
            </w:pPr>
            <w:r>
              <w:rPr>
                <w:rFonts w:ascii="Arial" w:cs="Arial" w:eastAsia="Arial" w:hAnsi="Arial"/>
                <w:sz w:val="18"/>
                <w:szCs w:val="18"/>
                <w:color w:val="0000FF"/>
                <w:w w:val="98"/>
              </w:rPr>
              <w:t>Act of 2002</w:t>
            </w:r>
          </w:p>
        </w:tc>
        <w:tc>
          <w:tcPr>
            <w:tcW w:w="5460" w:type="dxa"/>
            <w:vAlign w:val="bottom"/>
            <w:tcBorders>
              <w:bottom w:val="single" w:sz="8" w:color="CCEEFF"/>
            </w:tcBorders>
            <w:gridSpan w:val="10"/>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9"/>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60" w:type="dxa"/>
            <w:vAlign w:val="bottom"/>
            <w:tcBorders>
              <w:bottom w:val="single" w:sz="8" w:color="0000FF"/>
            </w:tcBorders>
            <w:gridSpan w:val="9"/>
          </w:tcPr>
          <w:p>
            <w:pPr>
              <w:spacing w:after="0" w:line="189" w:lineRule="exact"/>
              <w:rPr>
                <w:sz w:val="20"/>
                <w:szCs w:val="20"/>
                <w:color w:val="auto"/>
              </w:rPr>
            </w:pPr>
            <w:r>
              <w:rPr>
                <w:rFonts w:ascii="Arial" w:cs="Arial" w:eastAsia="Arial" w:hAnsi="Arial"/>
                <w:sz w:val="18"/>
                <w:szCs w:val="18"/>
                <w:color w:val="0000FF"/>
                <w:w w:val="99"/>
              </w:rPr>
              <w:t>Certification of Principal Financial Officer pursuant to Exchange Act Rules 13a-</w:t>
            </w:r>
          </w:p>
        </w:tc>
        <w:tc>
          <w:tcPr>
            <w:tcW w:w="460" w:type="dxa"/>
            <w:vAlign w:val="bottom"/>
            <w:gridSpan w:val="7"/>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20" w:type="dxa"/>
            <w:vAlign w:val="bottom"/>
            <w:gridSpan w:val="16"/>
          </w:tcPr>
          <w:p>
            <w:pPr>
              <w:spacing w:after="0" w:line="169" w:lineRule="exact"/>
              <w:rPr>
                <w:sz w:val="20"/>
                <w:szCs w:val="20"/>
                <w:color w:val="auto"/>
              </w:rPr>
            </w:pPr>
            <w:r>
              <w:rPr>
                <w:rFonts w:ascii="Arial" w:cs="Arial" w:eastAsia="Arial" w:hAnsi="Arial"/>
                <w:sz w:val="18"/>
                <w:szCs w:val="18"/>
                <w:color w:val="0000FF"/>
              </w:rPr>
              <w:t>14(a) and 15d-14(a), as adopted pursuant to Section 302 of the Sarbanes-Oxley</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80" w:type="dxa"/>
            <w:vAlign w:val="bottom"/>
            <w:tcBorders>
              <w:top w:val="single" w:sz="8" w:color="0000FF"/>
            </w:tcBorders>
            <w:gridSpan w:val="12"/>
          </w:tcPr>
          <w:p>
            <w:pPr>
              <w:spacing w:after="0" w:line="156" w:lineRule="exact"/>
              <w:rPr>
                <w:sz w:val="20"/>
                <w:szCs w:val="20"/>
                <w:color w:val="auto"/>
              </w:rPr>
            </w:pPr>
            <w:r>
              <w:rPr>
                <w:rFonts w:ascii="Arial" w:cs="Arial" w:eastAsia="Arial" w:hAnsi="Arial"/>
                <w:sz w:val="18"/>
                <w:szCs w:val="18"/>
                <w:color w:val="0000FF"/>
              </w:rPr>
              <w:t>Act of 2002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32.1**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2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Certification of Principal Executive Officer pursuant to 18 U.S.C. Section 1350, as</w:t>
            </w: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400" w:type="dxa"/>
            <w:vAlign w:val="bottom"/>
            <w:tcBorders>
              <w:top w:val="single" w:sz="8" w:color="0000FF"/>
              <w:bottom w:val="single" w:sz="8" w:color="0000FF"/>
            </w:tcBorders>
            <w:gridSpan w:val="6"/>
            <w:shd w:val="clear" w:color="auto" w:fill="CCEEFF"/>
          </w:tcPr>
          <w:p>
            <w:pPr>
              <w:spacing w:after="0" w:line="169" w:lineRule="exact"/>
              <w:rPr>
                <w:sz w:val="20"/>
                <w:szCs w:val="20"/>
                <w:color w:val="auto"/>
              </w:rPr>
            </w:pPr>
            <w:r>
              <w:rPr>
                <w:rFonts w:ascii="Arial" w:cs="Arial" w:eastAsia="Arial" w:hAnsi="Arial"/>
                <w:sz w:val="18"/>
                <w:szCs w:val="18"/>
                <w:color w:val="0000FF"/>
                <w:w w:val="99"/>
              </w:rPr>
              <w:t>adopted pursuant to Section 906 of the Sarbanes-Oxley Act of 2002</w:t>
            </w:r>
          </w:p>
        </w:tc>
        <w:tc>
          <w:tcPr>
            <w:tcW w:w="106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2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7"/>
              </w:rPr>
              <w:t>32.2**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20" w:type="dxa"/>
            <w:vAlign w:val="bottom"/>
            <w:gridSpan w:val="16"/>
          </w:tcPr>
          <w:p>
            <w:pPr>
              <w:spacing w:after="0" w:line="189" w:lineRule="exact"/>
              <w:rPr>
                <w:sz w:val="20"/>
                <w:szCs w:val="20"/>
                <w:color w:val="auto"/>
              </w:rPr>
            </w:pPr>
            <w:r>
              <w:rPr>
                <w:rFonts w:ascii="Arial" w:cs="Arial" w:eastAsia="Arial" w:hAnsi="Arial"/>
                <w:sz w:val="18"/>
                <w:szCs w:val="18"/>
                <w:color w:val="0000FF"/>
              </w:rPr>
              <w:t>Certification of Principal Financial Officer pursuant to 18 U.S.C. Section 1350, as</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rPr>
              <w:t>adopted pursuant to Section 906 of the Sarbanes-Oxley Act of 2002</w:t>
            </w:r>
          </w:p>
        </w:tc>
        <w:tc>
          <w:tcPr>
            <w:tcW w:w="32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101.INS*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7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auto"/>
              </w:rPr>
              <w:t>XBRL Instance Document – the instance document does not appear in the</w:t>
            </w: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7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auto"/>
              </w:rPr>
              <w:t>Interactive Data File because its XBRL tags are embedded within the Inline XBRL</w:t>
            </w: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72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document</w:t>
            </w:r>
          </w:p>
        </w:tc>
        <w:tc>
          <w:tcPr>
            <w:tcW w:w="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101.SCH*</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2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101.CAL*</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72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101.DEF*</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101.LAB*</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72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80" w:type="dxa"/>
            <w:vAlign w:val="bottom"/>
          </w:tcPr>
          <w:p>
            <w:pPr>
              <w:jc w:val="cente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2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104*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2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with applicable</w:t>
            </w: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72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taxonomy extension information contained in Exhibits 101)</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340" w:hanging="332"/>
        <w:spacing w:after="0" w:line="250" w:lineRule="auto"/>
        <w:tabs>
          <w:tab w:leader="none" w:pos="3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601(a)(5) of Regulation S-K under the Securities Act. The Company agrees to furnish supplementally any omitted schedules to the Securities and Exchange Commission upon request.</w:t>
      </w:r>
    </w:p>
    <w:p>
      <w:pPr>
        <w:spacing w:after="0" w:line="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 because they are both (i) not material and</w:t>
      </w:r>
    </w:p>
    <w:p>
      <w:pPr>
        <w:spacing w:after="0" w:line="9" w:lineRule="exact"/>
        <w:rPr>
          <w:rFonts w:ascii="Arial" w:cs="Arial" w:eastAsia="Arial" w:hAnsi="Arial"/>
          <w:sz w:val="18"/>
          <w:szCs w:val="18"/>
          <w:color w:val="auto"/>
        </w:rPr>
      </w:pPr>
    </w:p>
    <w:p>
      <w:pPr>
        <w:ind w:left="340" w:hanging="8"/>
        <w:spacing w:after="0" w:line="261" w:lineRule="auto"/>
        <w:tabs>
          <w:tab w:leader="none" w:pos="61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type that the registrant treats as private or confidential. A copy of the omitted portions will be furnished to the Securities and Exchange Commission upon request.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7"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THREDUP INC.</w:t>
      </w:r>
    </w:p>
    <w:p>
      <w:pPr>
        <w:spacing w:after="0" w:line="303" w:lineRule="exact"/>
        <w:rPr>
          <w:sz w:val="20"/>
          <w:szCs w:val="20"/>
          <w:color w:val="auto"/>
        </w:rPr>
      </w:pPr>
    </w:p>
    <w:p>
      <w:pPr>
        <w:ind w:left="56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SOBERS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22225</wp:posOffset>
            </wp:positionV>
            <wp:extent cx="31718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Sean Sobers</w:t>
      </w:r>
    </w:p>
    <w:p>
      <w:pPr>
        <w:spacing w:after="0" w:line="22"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Financial and Accounting Officer)</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James Reinhart,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ThredUp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hanging="324"/>
        <w:spacing w:after="0" w:line="275"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5620" w:type="dxa"/>
        <w:tblCellMar>
          <w:top w:w="0" w:type="dxa"/>
          <w:left w:w="0" w:type="dxa"/>
          <w:bottom w:w="0" w:type="dxa"/>
          <w:right w:w="0" w:type="dxa"/>
        </w:tblCellMar>
      </w:tblPr>
      <w:tr>
        <w:trPr>
          <w:trHeight w:val="22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REINHART</w:t>
            </w:r>
          </w:p>
        </w:tc>
      </w:tr>
      <w:tr>
        <w:trPr>
          <w:trHeight w:val="223"/>
        </w:trPr>
        <w:tc>
          <w:tcPr>
            <w:tcW w:w="6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James Reinhart</w:t>
            </w:r>
          </w:p>
        </w:tc>
      </w:tr>
      <w:tr>
        <w:trPr>
          <w:trHeight w:val="243"/>
        </w:trPr>
        <w:tc>
          <w:tcPr>
            <w:tcW w:w="640" w:type="dxa"/>
            <w:vAlign w:val="bottom"/>
          </w:tcPr>
          <w:p>
            <w:pPr>
              <w:spacing w:after="0"/>
              <w:rPr>
                <w:sz w:val="21"/>
                <w:szCs w:val="21"/>
                <w:color w:val="auto"/>
              </w:rPr>
            </w:pPr>
          </w:p>
        </w:tc>
        <w:tc>
          <w:tcPr>
            <w:tcW w:w="49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6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ectPr>
          <w:pgSz w:w="11900" w:h="16838" w:orient="portrait"/>
          <w:cols w:equalWidth="0" w:num="1">
            <w:col w:w="11240"/>
          </w:cols>
          <w:pgMar w:left="320" w:top="76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Sean Sobers,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ThredUp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hanging="324"/>
        <w:spacing w:after="0" w:line="275"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5620" w:type="dxa"/>
        <w:tblCellMar>
          <w:top w:w="0" w:type="dxa"/>
          <w:left w:w="0" w:type="dxa"/>
          <w:bottom w:w="0" w:type="dxa"/>
          <w:right w:w="0" w:type="dxa"/>
        </w:tblCellMar>
      </w:tblPr>
      <w:tr>
        <w:trPr>
          <w:trHeight w:val="22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23"/>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43"/>
        </w:trPr>
        <w:tc>
          <w:tcPr>
            <w:tcW w:w="6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ectPr>
          <w:pgSz w:w="11900" w:h="16838" w:orient="portrait"/>
          <w:cols w:equalWidth="0" w:num="1">
            <w:col w:w="11240"/>
          </w:cols>
          <w:pgMar w:left="320" w:top="76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 James Reinhart, Chief Executive Officer of ThredUp Inc. (the “Company”), do hereby certify, pursuant to 18 U.S.C. Section 1350, as adopted pursuant to Section 906 of the Sarbanes-Oxley Act of 2002, that to the best of my knowledge:</w:t>
      </w:r>
    </w:p>
    <w:p>
      <w:pPr>
        <w:spacing w:after="0" w:line="174" w:lineRule="exact"/>
        <w:rPr>
          <w:sz w:val="20"/>
          <w:szCs w:val="20"/>
          <w:color w:val="auto"/>
        </w:rPr>
      </w:pPr>
    </w:p>
    <w:p>
      <w:pPr>
        <w:ind w:left="660" w:hanging="328"/>
        <w:spacing w:after="0" w:line="27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2023 (the “Report”) fully complies with the requirements of Section 13(a) or 15(d) of the Securities Exchange Act of 1934; and</w:t>
      </w:r>
    </w:p>
    <w:p>
      <w:pPr>
        <w:spacing w:after="0" w:line="173"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14" w:lineRule="exact"/>
        <w:rPr>
          <w:sz w:val="20"/>
          <w:szCs w:val="20"/>
          <w:color w:val="auto"/>
        </w:rPr>
      </w:pPr>
    </w:p>
    <w:tbl>
      <w:tblPr>
        <w:tblLayout w:type="fixed"/>
        <w:tblInd w:w="5620" w:type="dxa"/>
        <w:tblCellMar>
          <w:top w:w="0" w:type="dxa"/>
          <w:left w:w="0" w:type="dxa"/>
          <w:bottom w:w="0" w:type="dxa"/>
          <w:right w:w="0" w:type="dxa"/>
        </w:tblCellMar>
      </w:tblPr>
      <w:tr>
        <w:trPr>
          <w:trHeight w:val="22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REINHART</w:t>
            </w:r>
          </w:p>
        </w:tc>
      </w:tr>
      <w:tr>
        <w:trPr>
          <w:trHeight w:val="223"/>
        </w:trPr>
        <w:tc>
          <w:tcPr>
            <w:tcW w:w="6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James Reinhart</w:t>
            </w:r>
          </w:p>
        </w:tc>
      </w:tr>
      <w:tr>
        <w:trPr>
          <w:trHeight w:val="243"/>
        </w:trPr>
        <w:tc>
          <w:tcPr>
            <w:tcW w:w="640" w:type="dxa"/>
            <w:vAlign w:val="bottom"/>
          </w:tcPr>
          <w:p>
            <w:pPr>
              <w:spacing w:after="0"/>
              <w:rPr>
                <w:sz w:val="21"/>
                <w:szCs w:val="21"/>
                <w:color w:val="auto"/>
              </w:rPr>
            </w:pPr>
          </w:p>
        </w:tc>
        <w:tc>
          <w:tcPr>
            <w:tcW w:w="49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6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ectPr>
          <w:pgSz w:w="11900" w:h="16838" w:orient="portrait"/>
          <w:cols w:equalWidth="0" w:num="1">
            <w:col w:w="11240"/>
          </w:cols>
          <w:pgMar w:left="320" w:top="76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 Sean Sobers, Chief Financial Officer of ThredUp Inc. (the “Company”), do hereby certify, pursuant to 18 U.S.C. Section 1350, as adopted pursuant to Section 906 of the Sarbanes-Oxley Act of 2002, that to the best of my knowledge:</w:t>
      </w:r>
    </w:p>
    <w:p>
      <w:pPr>
        <w:spacing w:after="0" w:line="174" w:lineRule="exact"/>
        <w:rPr>
          <w:sz w:val="20"/>
          <w:szCs w:val="20"/>
          <w:color w:val="auto"/>
        </w:rPr>
      </w:pPr>
    </w:p>
    <w:p>
      <w:pPr>
        <w:ind w:left="660" w:hanging="328"/>
        <w:spacing w:after="0" w:line="27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2023 (the “Report”) fully complies with the requirements of Section 13(a) or 15(d) of the Securities Exchange Act of 1934; and</w:t>
      </w:r>
    </w:p>
    <w:p>
      <w:pPr>
        <w:spacing w:after="0" w:line="173"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14" w:lineRule="exact"/>
        <w:rPr>
          <w:sz w:val="20"/>
          <w:szCs w:val="20"/>
          <w:color w:val="auto"/>
        </w:rPr>
      </w:pPr>
    </w:p>
    <w:tbl>
      <w:tblPr>
        <w:tblLayout w:type="fixed"/>
        <w:tblInd w:w="5620" w:type="dxa"/>
        <w:tblCellMar>
          <w:top w:w="0" w:type="dxa"/>
          <w:left w:w="0" w:type="dxa"/>
          <w:bottom w:w="0" w:type="dxa"/>
          <w:right w:w="0" w:type="dxa"/>
        </w:tblCellMar>
      </w:tblPr>
      <w:tr>
        <w:trPr>
          <w:trHeight w:val="22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23"/>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43"/>
        </w:trPr>
        <w:tc>
          <w:tcPr>
            <w:tcW w:w="6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6"/>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0"/>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lvl w:ilvl="1">
      <w:lvlJc w:val="left"/>
      <w:lvlText w:val="(%2)"/>
      <w:numFmt w:val="lowerRoman"/>
      <w:start w:val="2"/>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54" Type="http://schemas.openxmlformats.org/officeDocument/2006/relationships/hyperlink" Target="https://www.sec.gov/Archives/edgar/data/1484778/000162828021003857/exhibit32-sx1.htm" TargetMode="External"/><Relationship Id="rId55" Type="http://schemas.openxmlformats.org/officeDocument/2006/relationships/hyperlink" Target="https://www.sec.gov/Archives/edgar/data/1484778/000148477823000037/thredup-arpubliccompanybyl.htm" TargetMode="External"/><Relationship Id="rId56" Type="http://schemas.openxmlformats.org/officeDocument/2006/relationships/hyperlink" Target="https://www.sec.gov/Archives/edgar/data/1484778/000162828021003857/exhibit41-sx1.htm" TargetMode="External"/><Relationship Id="rId57" Type="http://schemas.openxmlformats.org/officeDocument/2006/relationships/hyperlink" Target="https://www.sec.gov/Archives/edgar/data/1484778/000162828021003857/exhibit42-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2023-08-08T15:38:56Z</dcterms:created>
  <dcterms:modified xsi:type="dcterms:W3CDTF">2023-08-08T15:38:56Z</dcterms:modified>
</cp:coreProperties>
</file>